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jc w:val="center"/>
        <w:rPr>
          <w:rFonts w:hint="eastAsia" w:ascii="仿宋_GB2312" w:hAnsi="仿宋_GB2312" w:eastAsia="仿宋_GB2312" w:cs="仿宋_GB2312"/>
          <w:b/>
          <w:bCs/>
          <w:color w:val="auto"/>
          <w:sz w:val="44"/>
          <w:szCs w:val="44"/>
          <w:lang w:eastAsia="zh-CN"/>
        </w:rPr>
      </w:pPr>
      <w:bookmarkStart w:id="0" w:name="_GoBack"/>
      <w:bookmarkEnd w:id="0"/>
      <w:r>
        <w:rPr>
          <w:rFonts w:hint="eastAsia" w:ascii="仿宋_GB2312" w:hAnsi="仿宋_GB2312" w:eastAsia="仿宋_GB2312" w:cs="仿宋_GB2312"/>
          <w:b/>
          <w:bCs/>
          <w:color w:val="auto"/>
          <w:sz w:val="44"/>
          <w:szCs w:val="44"/>
        </w:rPr>
        <w:t>202</w:t>
      </w:r>
      <w:r>
        <w:rPr>
          <w:rFonts w:hint="eastAsia" w:ascii="仿宋_GB2312" w:hAnsi="仿宋_GB2312" w:eastAsia="仿宋_GB2312" w:cs="仿宋_GB2312"/>
          <w:b/>
          <w:bCs/>
          <w:color w:val="auto"/>
          <w:sz w:val="44"/>
          <w:szCs w:val="44"/>
          <w:lang w:val="en-US" w:eastAsia="zh-CN"/>
        </w:rPr>
        <w:t>4-2026</w:t>
      </w:r>
      <w:r>
        <w:rPr>
          <w:rFonts w:hint="eastAsia" w:ascii="仿宋_GB2312" w:hAnsi="仿宋_GB2312" w:eastAsia="仿宋_GB2312" w:cs="仿宋_GB2312"/>
          <w:b/>
          <w:bCs/>
          <w:color w:val="auto"/>
          <w:sz w:val="44"/>
          <w:szCs w:val="44"/>
        </w:rPr>
        <w:t>年吴中区农机购置</w:t>
      </w:r>
      <w:r>
        <w:rPr>
          <w:rFonts w:hint="eastAsia" w:ascii="仿宋_GB2312" w:hAnsi="仿宋_GB2312" w:eastAsia="仿宋_GB2312" w:cs="仿宋_GB2312"/>
          <w:b/>
          <w:bCs/>
          <w:color w:val="auto"/>
          <w:sz w:val="44"/>
          <w:szCs w:val="44"/>
          <w:lang w:eastAsia="zh-CN"/>
        </w:rPr>
        <w:t>与应用</w:t>
      </w:r>
    </w:p>
    <w:p>
      <w:pPr>
        <w:spacing w:line="590" w:lineRule="exact"/>
        <w:jc w:val="center"/>
        <w:rPr>
          <w:rFonts w:hint="eastAsia" w:ascii="仿宋_GB2312" w:hAnsi="仿宋_GB2312" w:eastAsia="仿宋_GB2312" w:cs="仿宋_GB2312"/>
          <w:b/>
          <w:bCs/>
          <w:color w:val="auto"/>
          <w:kern w:val="0"/>
          <w:sz w:val="44"/>
          <w:szCs w:val="44"/>
        </w:rPr>
      </w:pPr>
      <w:r>
        <w:rPr>
          <w:rFonts w:hint="eastAsia" w:ascii="仿宋_GB2312" w:hAnsi="仿宋_GB2312" w:eastAsia="仿宋_GB2312" w:cs="仿宋_GB2312"/>
          <w:b/>
          <w:bCs/>
          <w:color w:val="auto"/>
          <w:sz w:val="44"/>
          <w:szCs w:val="44"/>
        </w:rPr>
        <w:t>补贴工作方案</w:t>
      </w:r>
    </w:p>
    <w:p>
      <w:pPr>
        <w:spacing w:line="590" w:lineRule="exac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 xml:space="preserve">                   </w:t>
      </w:r>
    </w:p>
    <w:p>
      <w:pPr>
        <w:spacing w:line="590" w:lineRule="exact"/>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根据江苏省农业农村厅、财政厅《关于印发〈202</w:t>
      </w:r>
      <w:r>
        <w:rPr>
          <w:rFonts w:hint="eastAsia" w:ascii="仿宋_GB2312" w:hAnsi="仿宋_GB2312" w:eastAsia="仿宋_GB2312" w:cs="仿宋_GB2312"/>
          <w:color w:val="auto"/>
          <w:kern w:val="0"/>
          <w:sz w:val="32"/>
          <w:szCs w:val="32"/>
          <w:lang w:val="en-US" w:eastAsia="zh-CN"/>
        </w:rPr>
        <w:t>4</w:t>
      </w:r>
      <w:r>
        <w:rPr>
          <w:rFonts w:hint="eastAsia" w:ascii="仿宋_GB2312" w:hAnsi="仿宋_GB2312" w:eastAsia="仿宋_GB2312" w:cs="仿宋_GB2312"/>
          <w:color w:val="auto"/>
          <w:kern w:val="0"/>
          <w:sz w:val="32"/>
          <w:szCs w:val="32"/>
        </w:rPr>
        <w:t>-202</w:t>
      </w:r>
      <w:r>
        <w:rPr>
          <w:rFonts w:hint="eastAsia" w:ascii="仿宋_GB2312" w:hAnsi="仿宋_GB2312" w:eastAsia="仿宋_GB2312" w:cs="仿宋_GB2312"/>
          <w:color w:val="auto"/>
          <w:kern w:val="0"/>
          <w:sz w:val="32"/>
          <w:szCs w:val="32"/>
          <w:lang w:val="en-US" w:eastAsia="zh-CN"/>
        </w:rPr>
        <w:t>6</w:t>
      </w:r>
      <w:r>
        <w:rPr>
          <w:rFonts w:hint="eastAsia" w:ascii="仿宋_GB2312" w:hAnsi="仿宋_GB2312" w:eastAsia="仿宋_GB2312" w:cs="仿宋_GB2312"/>
          <w:color w:val="auto"/>
          <w:kern w:val="0"/>
          <w:sz w:val="32"/>
          <w:szCs w:val="32"/>
        </w:rPr>
        <w:t>年江苏省农机购置补贴实施意见〉的通知》(苏农机〔202</w:t>
      </w:r>
      <w:r>
        <w:rPr>
          <w:rFonts w:hint="eastAsia" w:ascii="仿宋_GB2312" w:hAnsi="仿宋_GB2312" w:eastAsia="仿宋_GB2312" w:cs="仿宋_GB2312"/>
          <w:color w:val="auto"/>
          <w:kern w:val="0"/>
          <w:sz w:val="32"/>
          <w:szCs w:val="32"/>
          <w:lang w:val="en-US" w:eastAsia="zh-CN"/>
        </w:rPr>
        <w:t>4</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kern w:val="0"/>
          <w:sz w:val="32"/>
          <w:szCs w:val="32"/>
          <w:u w:val="none"/>
          <w:lang w:val="en-US" w:eastAsia="zh-CN"/>
        </w:rPr>
        <w:t>19</w:t>
      </w:r>
      <w:r>
        <w:rPr>
          <w:rFonts w:hint="eastAsia" w:ascii="仿宋_GB2312" w:hAnsi="仿宋_GB2312" w:eastAsia="仿宋_GB2312" w:cs="仿宋_GB2312"/>
          <w:color w:val="auto"/>
          <w:kern w:val="0"/>
          <w:sz w:val="32"/>
          <w:szCs w:val="32"/>
        </w:rPr>
        <w:t>号)</w:t>
      </w:r>
      <w:r>
        <w:rPr>
          <w:rFonts w:hint="eastAsia" w:ascii="仿宋_GB2312" w:hAnsi="仿宋_GB2312" w:eastAsia="仿宋_GB2312" w:cs="仿宋_GB2312"/>
          <w:color w:val="auto"/>
          <w:kern w:val="0"/>
          <w:sz w:val="32"/>
          <w:szCs w:val="32"/>
          <w:lang w:eastAsia="zh-CN"/>
        </w:rPr>
        <w:t>文</w:t>
      </w:r>
      <w:r>
        <w:rPr>
          <w:rFonts w:hint="eastAsia" w:ascii="仿宋_GB2312" w:hAnsi="仿宋_GB2312" w:eastAsia="仿宋_GB2312" w:cs="仿宋_GB2312"/>
          <w:color w:val="auto"/>
          <w:kern w:val="0"/>
          <w:sz w:val="32"/>
          <w:szCs w:val="32"/>
        </w:rPr>
        <w:t>对农机购置</w:t>
      </w:r>
      <w:r>
        <w:rPr>
          <w:rFonts w:hint="eastAsia" w:ascii="仿宋_GB2312" w:hAnsi="仿宋_GB2312" w:eastAsia="仿宋_GB2312" w:cs="仿宋_GB2312"/>
          <w:color w:val="auto"/>
          <w:kern w:val="0"/>
          <w:sz w:val="32"/>
          <w:szCs w:val="32"/>
          <w:lang w:eastAsia="zh-CN"/>
        </w:rPr>
        <w:t>与应用</w:t>
      </w:r>
      <w:r>
        <w:rPr>
          <w:rFonts w:hint="eastAsia" w:ascii="仿宋_GB2312" w:hAnsi="仿宋_GB2312" w:eastAsia="仿宋_GB2312" w:cs="仿宋_GB2312"/>
          <w:color w:val="auto"/>
          <w:kern w:val="0"/>
          <w:sz w:val="32"/>
          <w:szCs w:val="32"/>
        </w:rPr>
        <w:t>补贴政策的调整，结合我区农机购置</w:t>
      </w:r>
      <w:r>
        <w:rPr>
          <w:rFonts w:hint="eastAsia" w:ascii="仿宋_GB2312" w:hAnsi="仿宋_GB2312" w:eastAsia="仿宋_GB2312" w:cs="仿宋_GB2312"/>
          <w:color w:val="auto"/>
          <w:kern w:val="0"/>
          <w:sz w:val="32"/>
          <w:szCs w:val="32"/>
          <w:lang w:eastAsia="zh-CN"/>
        </w:rPr>
        <w:t>与应用</w:t>
      </w:r>
      <w:r>
        <w:rPr>
          <w:rFonts w:hint="eastAsia" w:ascii="仿宋_GB2312" w:hAnsi="仿宋_GB2312" w:eastAsia="仿宋_GB2312" w:cs="仿宋_GB2312"/>
          <w:color w:val="auto"/>
          <w:kern w:val="0"/>
          <w:sz w:val="32"/>
          <w:szCs w:val="32"/>
        </w:rPr>
        <w:t>补贴工作实际</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rPr>
        <w:t>制定本方案，对具体操作事项</w:t>
      </w:r>
      <w:r>
        <w:rPr>
          <w:rFonts w:hint="eastAsia" w:ascii="仿宋_GB2312" w:hAnsi="仿宋_GB2312" w:eastAsia="仿宋_GB2312" w:cs="仿宋_GB2312"/>
          <w:color w:val="auto"/>
          <w:sz w:val="32"/>
          <w:szCs w:val="32"/>
        </w:rPr>
        <w:t>进行细化和明确</w:t>
      </w:r>
      <w:r>
        <w:rPr>
          <w:rFonts w:hint="eastAsia" w:ascii="仿宋_GB2312" w:hAnsi="仿宋_GB2312" w:eastAsia="仿宋_GB2312" w:cs="仿宋_GB2312"/>
          <w:color w:val="auto"/>
          <w:kern w:val="0"/>
          <w:sz w:val="32"/>
          <w:szCs w:val="32"/>
        </w:rPr>
        <w:t>。</w:t>
      </w:r>
    </w:p>
    <w:p>
      <w:pPr>
        <w:spacing w:line="590" w:lineRule="exact"/>
        <w:ind w:firstLine="640" w:firstLineChars="200"/>
        <w:rPr>
          <w:rFonts w:hint="eastAsia" w:ascii="仿宋_GB2312" w:hAnsi="仿宋_GB2312" w:eastAsia="仿宋_GB2312" w:cs="仿宋_GB2312"/>
          <w:color w:val="auto"/>
          <w:sz w:val="32"/>
          <w:szCs w:val="32"/>
        </w:rPr>
      </w:pPr>
      <w:r>
        <w:rPr>
          <w:rFonts w:hint="eastAsia" w:ascii="黑体" w:hAnsi="宋体" w:eastAsia="黑体" w:cs="Times New Roman"/>
          <w:color w:val="auto"/>
          <w:sz w:val="32"/>
          <w:szCs w:val="32"/>
        </w:rPr>
        <w:t>一、总体要求</w:t>
      </w:r>
    </w:p>
    <w:p>
      <w:pPr>
        <w:spacing w:line="590" w:lineRule="exact"/>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围绕乡村振兴战略，以满足农民和现代农业对机械化生产的需求为目标，以稳定实施政策、最大限度发挥政策效益为主线，引领农机化向全程全面高质高效发展，为实现农业农村现代化提供坚实基础。202</w:t>
      </w:r>
      <w:r>
        <w:rPr>
          <w:rFonts w:hint="eastAsia" w:ascii="仿宋_GB2312" w:hAnsi="仿宋_GB2312" w:eastAsia="仿宋_GB2312" w:cs="仿宋_GB2312"/>
          <w:color w:val="auto"/>
          <w:kern w:val="0"/>
          <w:sz w:val="32"/>
          <w:szCs w:val="32"/>
          <w:lang w:val="en-US" w:eastAsia="zh-CN"/>
        </w:rPr>
        <w:t>4-2026</w:t>
      </w:r>
      <w:r>
        <w:rPr>
          <w:rFonts w:hint="eastAsia" w:ascii="仿宋_GB2312" w:hAnsi="仿宋_GB2312" w:eastAsia="仿宋_GB2312" w:cs="仿宋_GB2312"/>
          <w:color w:val="auto"/>
          <w:kern w:val="0"/>
          <w:sz w:val="32"/>
          <w:szCs w:val="32"/>
        </w:rPr>
        <w:t>年</w:t>
      </w:r>
      <w:r>
        <w:rPr>
          <w:rFonts w:hint="eastAsia" w:ascii="仿宋_GB2312" w:hAnsi="仿宋_GB2312" w:eastAsia="仿宋_GB2312" w:cs="仿宋_GB2312"/>
          <w:color w:val="auto"/>
          <w:kern w:val="0"/>
          <w:sz w:val="32"/>
          <w:szCs w:val="32"/>
          <w:lang w:eastAsia="zh-CN"/>
        </w:rPr>
        <w:t>农机购置与应用</w:t>
      </w:r>
      <w:r>
        <w:rPr>
          <w:rFonts w:hint="eastAsia" w:ascii="仿宋_GB2312" w:hAnsi="仿宋_GB2312" w:eastAsia="仿宋_GB2312" w:cs="仿宋_GB2312"/>
          <w:color w:val="auto"/>
          <w:kern w:val="0"/>
          <w:sz w:val="32"/>
          <w:szCs w:val="32"/>
        </w:rPr>
        <w:t>补贴政策总体要求是：</w:t>
      </w:r>
    </w:p>
    <w:p>
      <w:pPr>
        <w:adjustRightInd w:val="0"/>
        <w:snapToGrid w:val="0"/>
        <w:spacing w:line="590" w:lineRule="exact"/>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1、对列入补贴品目机具实施“普惠制”，</w:t>
      </w:r>
      <w:r>
        <w:rPr>
          <w:rFonts w:hint="eastAsia" w:ascii="仿宋_GB2312" w:hAnsi="仿宋_GB2312" w:eastAsia="仿宋_GB2312" w:cs="仿宋_GB2312"/>
          <w:color w:val="auto"/>
          <w:kern w:val="0"/>
          <w:sz w:val="32"/>
          <w:szCs w:val="32"/>
          <w:lang w:eastAsia="zh-CN"/>
        </w:rPr>
        <w:t>跨年连续开放办补</w:t>
      </w:r>
      <w:r>
        <w:rPr>
          <w:rFonts w:hint="eastAsia" w:ascii="仿宋_GB2312" w:hAnsi="仿宋_GB2312" w:eastAsia="仿宋_GB2312" w:cs="仿宋_GB2312"/>
          <w:color w:val="auto"/>
          <w:kern w:val="0"/>
          <w:sz w:val="32"/>
          <w:szCs w:val="32"/>
        </w:rPr>
        <w:t>。</w:t>
      </w:r>
    </w:p>
    <w:p>
      <w:pPr>
        <w:adjustRightInd w:val="0"/>
        <w:snapToGrid w:val="0"/>
        <w:spacing w:line="590" w:lineRule="exact"/>
        <w:ind w:firstLine="640" w:firstLineChars="200"/>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2、采取“品目管理、自主购机、定额补贴、先购后补、乡镇受理、县级结算、直补到卡（</w:t>
      </w:r>
      <w:r>
        <w:rPr>
          <w:rFonts w:hint="eastAsia" w:ascii="仿宋_GB2312" w:hAnsi="仿宋_GB2312" w:eastAsia="仿宋_GB2312" w:cs="仿宋_GB2312"/>
          <w:color w:val="auto"/>
          <w:kern w:val="0"/>
          <w:sz w:val="32"/>
          <w:szCs w:val="32"/>
          <w:lang w:eastAsia="zh-CN"/>
        </w:rPr>
        <w:t>一卡通</w:t>
      </w:r>
      <w:r>
        <w:rPr>
          <w:rFonts w:hint="eastAsia" w:ascii="仿宋_GB2312" w:hAnsi="仿宋_GB2312" w:eastAsia="仿宋_GB2312" w:cs="仿宋_GB2312"/>
          <w:color w:val="auto"/>
          <w:kern w:val="0"/>
          <w:sz w:val="32"/>
          <w:szCs w:val="32"/>
        </w:rPr>
        <w:t>）”方式实施。</w:t>
      </w:r>
    </w:p>
    <w:p>
      <w:pPr>
        <w:adjustRightInd w:val="0"/>
        <w:snapToGrid w:val="0"/>
        <w:spacing w:line="59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3、坚持“公开、公正、公平”原则，以惠民、便民为宗旨，限时办理、</w:t>
      </w:r>
      <w:r>
        <w:rPr>
          <w:rFonts w:hint="eastAsia" w:ascii="仿宋_GB2312" w:hAnsi="仿宋_GB2312" w:eastAsia="仿宋_GB2312" w:cs="仿宋_GB2312"/>
          <w:color w:val="auto"/>
          <w:sz w:val="32"/>
          <w:szCs w:val="32"/>
        </w:rPr>
        <w:t>规范实施农机购置补贴政策，注重部门协同，全过程监管，加强信息化应用，提升服务效能与风险防控水平。完善绩效考核和廉政风险防控，强化失信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违规</w:t>
      </w:r>
      <w:r>
        <w:rPr>
          <w:rFonts w:hint="eastAsia" w:ascii="仿宋_GB2312" w:hAnsi="仿宋_GB2312" w:eastAsia="仿宋_GB2312" w:cs="仿宋_GB2312"/>
          <w:color w:val="auto"/>
          <w:sz w:val="32"/>
          <w:szCs w:val="32"/>
          <w:lang w:eastAsia="zh-CN"/>
        </w:rPr>
        <w:t>查处</w:t>
      </w:r>
      <w:r>
        <w:rPr>
          <w:rFonts w:hint="eastAsia" w:ascii="仿宋_GB2312" w:hAnsi="仿宋_GB2312" w:eastAsia="仿宋_GB2312" w:cs="仿宋_GB2312"/>
          <w:color w:val="auto"/>
          <w:sz w:val="32"/>
          <w:szCs w:val="32"/>
        </w:rPr>
        <w:t>，确保政策规范、廉洁、高效实施。</w:t>
      </w:r>
    </w:p>
    <w:p>
      <w:pPr>
        <w:adjustRightInd w:val="0"/>
        <w:snapToGrid w:val="0"/>
        <w:spacing w:line="590" w:lineRule="exact"/>
        <w:ind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4、坚持市场原则，注重发挥政策引导。突出支持</w:t>
      </w:r>
      <w:r>
        <w:rPr>
          <w:rFonts w:hint="eastAsia" w:ascii="仿宋_GB2312" w:hAnsi="仿宋_GB2312" w:eastAsia="仿宋_GB2312" w:cs="仿宋_GB2312"/>
          <w:color w:val="auto"/>
          <w:sz w:val="32"/>
          <w:szCs w:val="32"/>
          <w:lang w:eastAsia="zh-CN"/>
        </w:rPr>
        <w:t>粮食和</w:t>
      </w:r>
      <w:r>
        <w:rPr>
          <w:rFonts w:hint="eastAsia" w:ascii="仿宋_GB2312" w:hAnsi="仿宋_GB2312" w:eastAsia="仿宋_GB2312" w:cs="仿宋_GB2312"/>
          <w:color w:val="auto"/>
          <w:sz w:val="32"/>
          <w:szCs w:val="32"/>
        </w:rPr>
        <w:t>重要农畜产品稳产保供，</w:t>
      </w:r>
      <w:r>
        <w:rPr>
          <w:rFonts w:hint="eastAsia" w:ascii="仿宋_GB2312" w:hAnsi="仿宋_GB2312" w:eastAsia="仿宋_GB2312" w:cs="仿宋_GB2312"/>
          <w:color w:val="auto"/>
          <w:sz w:val="32"/>
          <w:szCs w:val="32"/>
          <w:lang w:eastAsia="zh-CN"/>
        </w:rPr>
        <w:t>支持“优机优补、有进有出”，</w:t>
      </w:r>
      <w:r>
        <w:rPr>
          <w:rFonts w:hint="eastAsia" w:ascii="仿宋_GB2312" w:hAnsi="仿宋_GB2312" w:eastAsia="仿宋_GB2312" w:cs="仿宋_GB2312"/>
          <w:color w:val="auto"/>
          <w:sz w:val="32"/>
          <w:szCs w:val="32"/>
        </w:rPr>
        <w:t>引导绿色生态、节能环保、精准高效农机具的发展，支持农机科技自主创新和农机装备的</w:t>
      </w:r>
      <w:r>
        <w:rPr>
          <w:rFonts w:hint="eastAsia" w:ascii="仿宋_GB2312" w:hAnsi="仿宋_GB2312" w:eastAsia="仿宋_GB2312" w:cs="仿宋_GB2312"/>
          <w:color w:val="auto"/>
          <w:sz w:val="32"/>
          <w:szCs w:val="32"/>
          <w:lang w:eastAsia="zh-CN"/>
        </w:rPr>
        <w:t>安全性、</w:t>
      </w:r>
      <w:r>
        <w:rPr>
          <w:rFonts w:hint="eastAsia" w:ascii="仿宋_GB2312" w:hAnsi="仿宋_GB2312" w:eastAsia="仿宋_GB2312" w:cs="仿宋_GB2312"/>
          <w:color w:val="auto"/>
          <w:sz w:val="32"/>
          <w:szCs w:val="32"/>
        </w:rPr>
        <w:t>智能化、绿色化发展</w:t>
      </w:r>
      <w:r>
        <w:rPr>
          <w:rFonts w:hint="eastAsia" w:ascii="仿宋_GB2312" w:hAnsi="仿宋_GB2312" w:eastAsia="仿宋_GB2312" w:cs="仿宋_GB2312"/>
          <w:color w:val="auto"/>
          <w:sz w:val="32"/>
          <w:szCs w:val="32"/>
          <w:lang w:eastAsia="zh-CN"/>
        </w:rPr>
        <w:t>，提升服务效能，强化补贴监管。</w:t>
      </w:r>
    </w:p>
    <w:p>
      <w:pPr>
        <w:adjustRightInd w:val="0"/>
        <w:snapToGrid w:val="0"/>
        <w:spacing w:line="590" w:lineRule="exact"/>
        <w:ind w:firstLine="643" w:firstLineChars="200"/>
        <w:rPr>
          <w:rFonts w:hint="eastAsia" w:ascii="黑体" w:hAnsi="黑体" w:eastAsia="黑体" w:cs="黑体"/>
          <w:b/>
          <w:bCs/>
          <w:color w:val="auto"/>
          <w:sz w:val="32"/>
          <w:szCs w:val="32"/>
        </w:rPr>
      </w:pPr>
      <w:r>
        <w:rPr>
          <w:rFonts w:hint="eastAsia" w:ascii="黑体" w:hAnsi="黑体" w:eastAsia="黑体" w:cs="黑体"/>
          <w:b/>
          <w:bCs/>
          <w:color w:val="auto"/>
          <w:sz w:val="32"/>
          <w:szCs w:val="32"/>
          <w:lang w:val="en-US" w:eastAsia="zh-CN"/>
        </w:rPr>
        <w:t>二</w:t>
      </w:r>
      <w:r>
        <w:rPr>
          <w:rFonts w:hint="eastAsia" w:ascii="黑体" w:hAnsi="黑体" w:eastAsia="黑体" w:cs="黑体"/>
          <w:b/>
          <w:bCs/>
          <w:color w:val="auto"/>
          <w:sz w:val="32"/>
          <w:szCs w:val="32"/>
        </w:rPr>
        <w:t>、补贴范围和补贴机具</w:t>
      </w:r>
    </w:p>
    <w:p>
      <w:pPr>
        <w:adjustRightInd w:val="0"/>
        <w:snapToGrid w:val="0"/>
        <w:spacing w:line="590" w:lineRule="exact"/>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（一）补贴范围</w:t>
      </w:r>
      <w:r>
        <w:rPr>
          <w:rFonts w:hint="eastAsia" w:ascii="仿宋_GB2312" w:hAnsi="仿宋_GB2312" w:eastAsia="仿宋_GB2312" w:cs="仿宋_GB2312"/>
          <w:color w:val="auto"/>
          <w:sz w:val="32"/>
          <w:szCs w:val="32"/>
        </w:rPr>
        <w:t>。农机购置与应用补贴政策在全省范围内实施。省属单位（国有农场、监狱等）的农机购置与应用补贴，按照属地管理原则，一并纳入所在县（市、区）统一操作。</w:t>
      </w:r>
    </w:p>
    <w:p>
      <w:pPr>
        <w:adjustRightInd w:val="0"/>
        <w:snapToGrid w:val="0"/>
        <w:spacing w:line="590" w:lineRule="exact"/>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（二）补贴机具。</w:t>
      </w:r>
      <w:r>
        <w:rPr>
          <w:rFonts w:hint="eastAsia" w:ascii="仿宋_GB2312" w:hAnsi="仿宋_GB2312" w:eastAsia="仿宋_GB2312" w:cs="仿宋_GB2312"/>
          <w:color w:val="auto"/>
          <w:sz w:val="32"/>
          <w:szCs w:val="32"/>
        </w:rPr>
        <w:t>农机购置与应用补贴机具种类范围为</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rPr>
        <w:t>大类</w:t>
      </w:r>
      <w:r>
        <w:rPr>
          <w:rFonts w:hint="eastAsia" w:ascii="仿宋_GB2312" w:hAnsi="仿宋_GB2312" w:eastAsia="仿宋_GB2312" w:cs="仿宋_GB2312"/>
          <w:color w:val="auto"/>
          <w:sz w:val="32"/>
          <w:szCs w:val="32"/>
          <w:lang w:val="en-US" w:eastAsia="zh-CN"/>
        </w:rPr>
        <w:t>47</w:t>
      </w:r>
      <w:r>
        <w:rPr>
          <w:rFonts w:hint="eastAsia" w:ascii="仿宋_GB2312" w:hAnsi="仿宋_GB2312" w:eastAsia="仿宋_GB2312" w:cs="仿宋_GB2312"/>
          <w:color w:val="auto"/>
          <w:sz w:val="32"/>
          <w:szCs w:val="32"/>
        </w:rPr>
        <w:t>个小类</w:t>
      </w:r>
      <w:r>
        <w:rPr>
          <w:rFonts w:hint="eastAsia" w:ascii="仿宋_GB2312" w:hAnsi="仿宋_GB2312" w:eastAsia="仿宋_GB2312" w:cs="仿宋_GB2312"/>
          <w:color w:val="auto"/>
          <w:sz w:val="32"/>
          <w:szCs w:val="32"/>
          <w:lang w:val="en-US" w:eastAsia="zh-CN"/>
        </w:rPr>
        <w:t>123</w:t>
      </w:r>
      <w:r>
        <w:rPr>
          <w:rFonts w:hint="eastAsia" w:ascii="仿宋_GB2312" w:hAnsi="仿宋_GB2312" w:eastAsia="仿宋_GB2312" w:cs="仿宋_GB2312"/>
          <w:color w:val="auto"/>
          <w:sz w:val="32"/>
          <w:szCs w:val="32"/>
        </w:rPr>
        <w:t>个品目，其中中央财政资金补贴范围</w:t>
      </w:r>
      <w:r>
        <w:rPr>
          <w:rFonts w:hint="eastAsia" w:ascii="仿宋_GB2312" w:hAnsi="仿宋_GB2312" w:eastAsia="仿宋_GB2312" w:cs="仿宋_GB2312"/>
          <w:color w:val="auto"/>
          <w:sz w:val="32"/>
          <w:szCs w:val="32"/>
          <w:lang w:val="en-US" w:eastAsia="zh-CN"/>
        </w:rPr>
        <w:t>22</w:t>
      </w:r>
      <w:r>
        <w:rPr>
          <w:rFonts w:hint="eastAsia" w:ascii="仿宋_GB2312" w:hAnsi="仿宋_GB2312" w:eastAsia="仿宋_GB2312" w:cs="仿宋_GB2312"/>
          <w:color w:val="auto"/>
          <w:sz w:val="32"/>
          <w:szCs w:val="32"/>
        </w:rPr>
        <w:t>大类</w:t>
      </w:r>
      <w:r>
        <w:rPr>
          <w:rFonts w:hint="eastAsia" w:ascii="仿宋_GB2312" w:hAnsi="仿宋_GB2312" w:eastAsia="仿宋_GB2312" w:cs="仿宋_GB2312"/>
          <w:color w:val="auto"/>
          <w:sz w:val="32"/>
          <w:szCs w:val="32"/>
          <w:lang w:val="en-US" w:eastAsia="zh-CN"/>
        </w:rPr>
        <w:t>47</w:t>
      </w:r>
      <w:r>
        <w:rPr>
          <w:rFonts w:hint="eastAsia" w:ascii="仿宋_GB2312" w:hAnsi="仿宋_GB2312" w:eastAsia="仿宋_GB2312" w:cs="仿宋_GB2312"/>
          <w:color w:val="auto"/>
          <w:sz w:val="32"/>
          <w:szCs w:val="32"/>
        </w:rPr>
        <w:t>个小类</w:t>
      </w:r>
      <w:r>
        <w:rPr>
          <w:rFonts w:hint="eastAsia" w:ascii="仿宋_GB2312" w:hAnsi="仿宋_GB2312" w:eastAsia="仿宋_GB2312" w:cs="仿宋_GB2312"/>
          <w:color w:val="auto"/>
          <w:sz w:val="32"/>
          <w:szCs w:val="32"/>
          <w:lang w:val="en-US" w:eastAsia="zh-CN"/>
        </w:rPr>
        <w:t>120</w:t>
      </w:r>
      <w:r>
        <w:rPr>
          <w:rFonts w:hint="eastAsia" w:ascii="仿宋_GB2312" w:hAnsi="仿宋_GB2312" w:eastAsia="仿宋_GB2312" w:cs="仿宋_GB2312"/>
          <w:color w:val="auto"/>
          <w:sz w:val="32"/>
          <w:szCs w:val="32"/>
        </w:rPr>
        <w:t>个品目，省级财政资金补贴范围</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大类</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个小类</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个品目</w:t>
      </w:r>
      <w:r>
        <w:rPr>
          <w:rFonts w:hint="eastAsia" w:ascii="仿宋_GB2312" w:hAnsi="仿宋_GB2312" w:eastAsia="仿宋_GB2312" w:cs="仿宋_GB2312"/>
          <w:color w:val="auto"/>
          <w:sz w:val="32"/>
          <w:szCs w:val="32"/>
          <w:lang w:eastAsia="zh-CN"/>
        </w:rPr>
        <w:t>（附件</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按“优机优补、有进有出”原则，</w:t>
      </w:r>
      <w:r>
        <w:rPr>
          <w:rFonts w:hint="eastAsia" w:ascii="仿宋_GB2312" w:hAnsi="仿宋_GB2312" w:eastAsia="仿宋_GB2312" w:cs="仿宋_GB2312"/>
          <w:color w:val="auto"/>
          <w:sz w:val="32"/>
          <w:szCs w:val="32"/>
        </w:rPr>
        <w:t>补贴机具品目优先保障粮油等主要作物大面积单产提升、机收减损、农机装备补短板、农业其他领域发展急需，以及事关国家重大战略实施等农业机械的推广应用。对区域内保有量明显过多、技术相对落后、不符合本省实际应用情况、群众反映问题较多、实际使用性能较差的机具建立清单，分别按照降低补贴标准或退出补贴范围等方式</w:t>
      </w:r>
      <w:r>
        <w:rPr>
          <w:rFonts w:hint="eastAsia" w:ascii="仿宋_GB2312" w:hAnsi="仿宋_GB2312" w:eastAsia="仿宋_GB2312" w:cs="仿宋_GB2312"/>
          <w:color w:val="auto"/>
          <w:sz w:val="32"/>
          <w:szCs w:val="32"/>
          <w:lang w:eastAsia="zh-CN"/>
        </w:rPr>
        <w:t>由省厅有序</w:t>
      </w:r>
      <w:r>
        <w:rPr>
          <w:rFonts w:hint="eastAsia" w:ascii="仿宋_GB2312" w:hAnsi="仿宋_GB2312" w:eastAsia="仿宋_GB2312" w:cs="仿宋_GB2312"/>
          <w:color w:val="auto"/>
          <w:sz w:val="32"/>
          <w:szCs w:val="32"/>
        </w:rPr>
        <w:t>处理。</w:t>
      </w:r>
    </w:p>
    <w:p>
      <w:pPr>
        <w:adjustRightInd w:val="0"/>
        <w:snapToGrid w:val="0"/>
        <w:spacing w:line="59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全面开展农用无人驾驶航空器购置补贴工作，农用无人驾驶航空器购置补贴</w:t>
      </w:r>
      <w:r>
        <w:rPr>
          <w:rFonts w:hint="eastAsia" w:ascii="仿宋_GB2312" w:hAnsi="仿宋_GB2312" w:eastAsia="仿宋_GB2312" w:cs="仿宋_GB2312"/>
          <w:color w:val="auto"/>
          <w:sz w:val="32"/>
          <w:szCs w:val="32"/>
          <w:lang w:eastAsia="zh-CN"/>
        </w:rPr>
        <w:t>，按省厅具体规定实施</w:t>
      </w:r>
      <w:r>
        <w:rPr>
          <w:rFonts w:hint="eastAsia" w:ascii="仿宋_GB2312" w:hAnsi="仿宋_GB2312" w:eastAsia="仿宋_GB2312" w:cs="仿宋_GB2312"/>
          <w:color w:val="auto"/>
          <w:sz w:val="32"/>
          <w:szCs w:val="32"/>
        </w:rPr>
        <w:t>。</w:t>
      </w:r>
    </w:p>
    <w:p>
      <w:pPr>
        <w:adjustRightInd w:val="0"/>
        <w:snapToGrid w:val="0"/>
        <w:spacing w:line="59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常规机具必须是我省补贴范围内的产品，同时还应具备以下资质之一：（1）获得农业机械试验鉴定证书；（2）获得农机强制性产品认证证书；（3）列入农机自愿性认证采信试点范围，获得农机自愿性产品认证证书。</w:t>
      </w:r>
    </w:p>
    <w:p>
      <w:pPr>
        <w:adjustRightInd w:val="0"/>
        <w:snapToGrid w:val="0"/>
        <w:spacing w:line="59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补贴机具须在明显位置永久固定标有生产企业、产品名称和型号、出厂编号、生产日期、执行标准等信息的铭牌。申请补贴机具的生产和购机日期须同时在农机鉴定（认证）证书或其他报告等有效期范围内。</w:t>
      </w:r>
    </w:p>
    <w:p>
      <w:pPr>
        <w:spacing w:line="590" w:lineRule="exact"/>
        <w:ind w:firstLine="640" w:firstLineChars="200"/>
        <w:rPr>
          <w:rFonts w:hint="eastAsia" w:ascii="黑体" w:hAnsi="宋体" w:eastAsia="黑体" w:cs="Times New Roman"/>
          <w:color w:val="auto"/>
          <w:sz w:val="32"/>
          <w:szCs w:val="32"/>
          <w:lang w:eastAsia="zh-CN"/>
        </w:rPr>
      </w:pPr>
      <w:r>
        <w:rPr>
          <w:rFonts w:hint="eastAsia" w:ascii="黑体" w:hAnsi="宋体" w:eastAsia="黑体" w:cs="Times New Roman"/>
          <w:color w:val="auto"/>
          <w:sz w:val="32"/>
          <w:szCs w:val="32"/>
          <w:lang w:eastAsia="zh-CN"/>
        </w:rPr>
        <w:t>三</w:t>
      </w:r>
      <w:r>
        <w:rPr>
          <w:rFonts w:hint="eastAsia" w:ascii="黑体" w:hAnsi="宋体" w:eastAsia="黑体" w:cs="Times New Roman"/>
          <w:color w:val="auto"/>
          <w:sz w:val="32"/>
          <w:szCs w:val="32"/>
        </w:rPr>
        <w:t>、补贴对象</w:t>
      </w:r>
      <w:r>
        <w:rPr>
          <w:rFonts w:hint="eastAsia" w:ascii="黑体" w:hAnsi="宋体" w:eastAsia="黑体" w:cs="Times New Roman"/>
          <w:color w:val="auto"/>
          <w:sz w:val="32"/>
          <w:szCs w:val="32"/>
          <w:lang w:eastAsia="zh-CN"/>
        </w:rPr>
        <w:t>和补贴标准</w:t>
      </w:r>
    </w:p>
    <w:p>
      <w:pPr>
        <w:adjustRightInd w:val="0"/>
        <w:snapToGrid w:val="0"/>
        <w:spacing w:line="590" w:lineRule="exact"/>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lang w:eastAsia="zh-CN"/>
        </w:rPr>
        <w:t>（一）补贴对象：</w:t>
      </w:r>
      <w:r>
        <w:rPr>
          <w:rFonts w:hint="eastAsia" w:ascii="仿宋_GB2312" w:hAnsi="仿宋_GB2312" w:eastAsia="仿宋_GB2312" w:cs="仿宋_GB2312"/>
          <w:color w:val="auto"/>
          <w:kern w:val="0"/>
          <w:sz w:val="32"/>
          <w:szCs w:val="32"/>
        </w:rPr>
        <w:t>补贴对象为</w:t>
      </w:r>
      <w:r>
        <w:rPr>
          <w:rFonts w:hint="eastAsia" w:ascii="仿宋_GB2312" w:hAnsi="仿宋_GB2312" w:eastAsia="仿宋_GB2312" w:cs="仿宋_GB2312"/>
          <w:color w:val="auto"/>
          <w:sz w:val="32"/>
          <w:szCs w:val="32"/>
        </w:rPr>
        <w:t>我区行政区域内从事农业生产的</w:t>
      </w:r>
      <w:r>
        <w:rPr>
          <w:rFonts w:hint="eastAsia" w:ascii="仿宋_GB2312" w:hAnsi="仿宋_GB2312" w:eastAsia="仿宋_GB2312" w:cs="仿宋_GB2312"/>
          <w:color w:val="auto"/>
          <w:sz w:val="32"/>
          <w:szCs w:val="32"/>
          <w:lang w:eastAsia="zh-CN"/>
        </w:rPr>
        <w:t>农民</w:t>
      </w:r>
      <w:r>
        <w:rPr>
          <w:rFonts w:hint="eastAsia" w:ascii="仿宋_GB2312" w:hAnsi="仿宋_GB2312" w:eastAsia="仿宋_GB2312" w:cs="仿宋_GB2312"/>
          <w:color w:val="auto"/>
          <w:sz w:val="32"/>
          <w:szCs w:val="32"/>
        </w:rPr>
        <w:t>和农业生产经营组织。农业生产经营组织包括农村集体经济组织、农民专业合作经济组织、农业企业和其他从事农业生产经营的组织。</w:t>
      </w:r>
    </w:p>
    <w:p>
      <w:pPr>
        <w:adjustRightInd w:val="0"/>
        <w:snapToGrid w:val="0"/>
        <w:spacing w:line="59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坚持补贴适当性审查原则，</w:t>
      </w:r>
      <w:r>
        <w:rPr>
          <w:rFonts w:hint="eastAsia" w:ascii="仿宋_GB2312" w:hAnsi="仿宋_GB2312" w:eastAsia="仿宋_GB2312" w:cs="仿宋_GB2312"/>
          <w:color w:val="auto"/>
          <w:sz w:val="32"/>
          <w:szCs w:val="32"/>
        </w:rPr>
        <w:t>申请农机购置补贴的，应确保所购机具是为了满足农业生产发展需求，补贴机具品目、数量应与生产需求、作业规模相匹配。对多年连续申请农机购置补贴或购机数量较多的主体，应</w:t>
      </w:r>
      <w:r>
        <w:rPr>
          <w:rFonts w:hint="eastAsia" w:ascii="仿宋_GB2312" w:hAnsi="仿宋_GB2312" w:eastAsia="仿宋_GB2312" w:cs="仿宋_GB2312"/>
          <w:color w:val="auto"/>
          <w:sz w:val="32"/>
          <w:szCs w:val="32"/>
          <w:lang w:eastAsia="zh-CN"/>
        </w:rPr>
        <w:t>强化</w:t>
      </w:r>
      <w:r>
        <w:rPr>
          <w:rFonts w:hint="eastAsia" w:ascii="仿宋_GB2312" w:hAnsi="仿宋_GB2312" w:eastAsia="仿宋_GB2312" w:cs="仿宋_GB2312"/>
          <w:color w:val="auto"/>
          <w:sz w:val="32"/>
          <w:szCs w:val="32"/>
        </w:rPr>
        <w:t>审查其多次、多台机具</w:t>
      </w:r>
      <w:r>
        <w:rPr>
          <w:rFonts w:hint="eastAsia" w:ascii="仿宋_GB2312" w:hAnsi="仿宋_GB2312" w:eastAsia="仿宋_GB2312" w:cs="仿宋_GB2312"/>
          <w:color w:val="auto"/>
          <w:sz w:val="32"/>
          <w:szCs w:val="32"/>
          <w:lang w:eastAsia="zh-CN"/>
        </w:rPr>
        <w:t>提交</w:t>
      </w:r>
      <w:r>
        <w:rPr>
          <w:rFonts w:hint="eastAsia" w:ascii="仿宋_GB2312" w:hAnsi="仿宋_GB2312" w:eastAsia="仿宋_GB2312" w:cs="仿宋_GB2312"/>
          <w:color w:val="auto"/>
          <w:sz w:val="32"/>
          <w:szCs w:val="32"/>
        </w:rPr>
        <w:t>申请补贴的适当性。</w:t>
      </w:r>
    </w:p>
    <w:p>
      <w:pPr>
        <w:adjustRightInd w:val="0"/>
        <w:snapToGrid w:val="0"/>
        <w:spacing w:line="59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农业企业申请农机购置补贴的，其注册地</w:t>
      </w:r>
      <w:r>
        <w:rPr>
          <w:rFonts w:hint="eastAsia" w:ascii="仿宋_GB2312" w:hAnsi="仿宋_GB2312" w:eastAsia="仿宋_GB2312" w:cs="仿宋_GB2312"/>
          <w:color w:val="auto"/>
          <w:sz w:val="32"/>
          <w:szCs w:val="32"/>
          <w:lang w:eastAsia="zh-CN"/>
        </w:rPr>
        <w:t>应</w:t>
      </w:r>
      <w:r>
        <w:rPr>
          <w:rFonts w:hint="eastAsia" w:ascii="仿宋_GB2312" w:hAnsi="仿宋_GB2312" w:eastAsia="仿宋_GB2312" w:cs="仿宋_GB2312"/>
          <w:color w:val="auto"/>
          <w:sz w:val="32"/>
          <w:szCs w:val="32"/>
        </w:rPr>
        <w:t>为本辖区，在其营业执照的经营范围中明示其从事农业生产经营的具体内容，并按农机管理部门要求，提供必要的能证明其所购补贴机具与其所从事农业生产经营相关的</w:t>
      </w:r>
      <w:r>
        <w:rPr>
          <w:rFonts w:hint="eastAsia" w:ascii="仿宋_GB2312" w:hAnsi="仿宋_GB2312" w:eastAsia="仿宋_GB2312" w:cs="仿宋_GB2312"/>
          <w:color w:val="auto"/>
          <w:sz w:val="32"/>
          <w:szCs w:val="32"/>
          <w:lang w:eastAsia="zh-CN"/>
        </w:rPr>
        <w:t>自</w:t>
      </w:r>
      <w:r>
        <w:rPr>
          <w:rFonts w:hint="eastAsia" w:ascii="仿宋_GB2312" w:hAnsi="仿宋_GB2312" w:eastAsia="仿宋_GB2312" w:cs="仿宋_GB2312"/>
          <w:color w:val="auto"/>
          <w:sz w:val="32"/>
          <w:szCs w:val="32"/>
        </w:rPr>
        <w:t>证材料。</w:t>
      </w:r>
    </w:p>
    <w:p>
      <w:pPr>
        <w:adjustRightInd w:val="0"/>
        <w:snapToGrid w:val="0"/>
        <w:spacing w:line="59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个人申请农机购置补贴的，需提供有效</w:t>
      </w:r>
      <w:r>
        <w:rPr>
          <w:rFonts w:hint="eastAsia" w:ascii="仿宋_GB2312" w:hAnsi="仿宋_GB2312" w:eastAsia="仿宋_GB2312" w:cs="仿宋_GB2312"/>
          <w:color w:val="auto"/>
          <w:sz w:val="32"/>
          <w:szCs w:val="32"/>
          <w:lang w:eastAsia="zh-CN"/>
        </w:rPr>
        <w:t>种养</w:t>
      </w:r>
      <w:r>
        <w:rPr>
          <w:rFonts w:hint="eastAsia" w:ascii="仿宋_GB2312" w:hAnsi="仿宋_GB2312" w:eastAsia="仿宋_GB2312" w:cs="仿宋_GB2312"/>
          <w:color w:val="auto"/>
          <w:sz w:val="32"/>
          <w:szCs w:val="32"/>
        </w:rPr>
        <w:t>承租协议或</w:t>
      </w:r>
      <w:r>
        <w:rPr>
          <w:rFonts w:hint="eastAsia" w:ascii="仿宋_GB2312" w:hAnsi="仿宋_GB2312" w:eastAsia="仿宋_GB2312" w:cs="仿宋_GB2312"/>
          <w:color w:val="auto"/>
          <w:sz w:val="32"/>
          <w:szCs w:val="32"/>
          <w:lang w:eastAsia="zh-CN"/>
        </w:rPr>
        <w:t>农机化</w:t>
      </w:r>
      <w:r>
        <w:rPr>
          <w:rFonts w:hint="eastAsia" w:ascii="仿宋_GB2312" w:hAnsi="仿宋_GB2312" w:eastAsia="仿宋_GB2312" w:cs="仿宋_GB2312"/>
          <w:color w:val="auto"/>
          <w:sz w:val="32"/>
          <w:szCs w:val="32"/>
        </w:rPr>
        <w:t>作业</w:t>
      </w:r>
      <w:r>
        <w:rPr>
          <w:rFonts w:hint="eastAsia" w:ascii="仿宋_GB2312" w:hAnsi="仿宋_GB2312" w:eastAsia="仿宋_GB2312" w:cs="仿宋_GB2312"/>
          <w:color w:val="auto"/>
          <w:sz w:val="32"/>
          <w:szCs w:val="32"/>
          <w:lang w:eastAsia="zh-CN"/>
        </w:rPr>
        <w:t>服务</w:t>
      </w:r>
      <w:r>
        <w:rPr>
          <w:rFonts w:hint="eastAsia" w:ascii="仿宋_GB2312" w:hAnsi="仿宋_GB2312" w:eastAsia="仿宋_GB2312" w:cs="仿宋_GB2312"/>
          <w:color w:val="auto"/>
          <w:sz w:val="32"/>
          <w:szCs w:val="32"/>
        </w:rPr>
        <w:t>协议或当地村委对其承租</w:t>
      </w:r>
      <w:r>
        <w:rPr>
          <w:rFonts w:hint="eastAsia" w:ascii="仿宋_GB2312" w:hAnsi="仿宋_GB2312" w:eastAsia="仿宋_GB2312" w:cs="仿宋_GB2312"/>
          <w:color w:val="auto"/>
          <w:sz w:val="32"/>
          <w:szCs w:val="32"/>
          <w:lang w:eastAsia="zh-CN"/>
        </w:rPr>
        <w:t>、作业服务等的</w:t>
      </w:r>
      <w:r>
        <w:rPr>
          <w:rFonts w:hint="eastAsia" w:ascii="仿宋_GB2312" w:hAnsi="仿宋_GB2312" w:eastAsia="仿宋_GB2312" w:cs="仿宋_GB2312"/>
          <w:color w:val="auto"/>
          <w:sz w:val="32"/>
          <w:szCs w:val="32"/>
        </w:rPr>
        <w:t>真实性证明。</w:t>
      </w:r>
    </w:p>
    <w:p>
      <w:pPr>
        <w:numPr>
          <w:ilvl w:val="0"/>
          <w:numId w:val="1"/>
        </w:numPr>
        <w:adjustRightInd w:val="0"/>
        <w:snapToGrid w:val="0"/>
        <w:spacing w:line="590" w:lineRule="exact"/>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补贴标准。</w:t>
      </w:r>
      <w:r>
        <w:rPr>
          <w:rFonts w:hint="eastAsia" w:ascii="仿宋_GB2312" w:hAnsi="仿宋_GB2312" w:eastAsia="仿宋_GB2312" w:cs="仿宋_GB2312"/>
          <w:color w:val="auto"/>
          <w:sz w:val="32"/>
          <w:szCs w:val="32"/>
        </w:rPr>
        <w:t>中央和省级财政农机购置与应用补贴实行定额补贴，即同一种类、同一档次农业机械</w:t>
      </w:r>
      <w:r>
        <w:rPr>
          <w:rFonts w:hint="eastAsia" w:ascii="仿宋_GB2312" w:hAnsi="仿宋_GB2312" w:eastAsia="仿宋_GB2312" w:cs="仿宋_GB2312"/>
          <w:color w:val="auto"/>
          <w:sz w:val="32"/>
          <w:szCs w:val="32"/>
          <w:lang w:eastAsia="zh-CN"/>
        </w:rPr>
        <w:t>执行省</w:t>
      </w:r>
      <w:r>
        <w:rPr>
          <w:rFonts w:hint="eastAsia" w:ascii="仿宋_GB2312" w:hAnsi="仿宋_GB2312" w:eastAsia="仿宋_GB2312" w:cs="仿宋_GB2312"/>
          <w:color w:val="auto"/>
          <w:sz w:val="32"/>
          <w:szCs w:val="32"/>
        </w:rPr>
        <w:t>内统一的补贴标准。</w:t>
      </w:r>
    </w:p>
    <w:p>
      <w:pPr>
        <w:numPr>
          <w:ilvl w:val="0"/>
          <w:numId w:val="0"/>
        </w:numPr>
        <w:adjustRightInd w:val="0"/>
        <w:snapToGrid w:val="0"/>
        <w:spacing w:line="59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补贴额测算与限额：</w:t>
      </w:r>
      <w:r>
        <w:rPr>
          <w:rFonts w:hint="eastAsia" w:ascii="仿宋_GB2312" w:hAnsi="仿宋_GB2312" w:eastAsia="仿宋_GB2312" w:cs="仿宋_GB2312"/>
          <w:color w:val="auto"/>
          <w:sz w:val="32"/>
          <w:szCs w:val="32"/>
        </w:rPr>
        <w:t>省农业农村厅、省财政厅统筹考虑、合理制定发布我省补贴额一览表（另发）。每个农民和农业生产经营组织年度享受农机购置与应用补贴最高限额分别为60万元和100万元。</w:t>
      </w:r>
    </w:p>
    <w:p>
      <w:pPr>
        <w:adjustRightInd w:val="0"/>
        <w:snapToGrid w:val="0"/>
        <w:spacing w:line="59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保持补贴额总体稳定，具体产品或具体档次的中央和省级财政资金实际补贴比例在测算比例上下一定范围内浮动符合政策规定，不对外公布具体产品的补贴额。在政策实施过程中发现具体产品或档次的中央和省级财政资金实际补贴比例超过测算比例15个百分点以上的，</w:t>
      </w:r>
      <w:r>
        <w:rPr>
          <w:rFonts w:hint="eastAsia" w:ascii="仿宋_GB2312" w:hAnsi="仿宋_GB2312" w:eastAsia="仿宋_GB2312" w:cs="仿宋_GB2312"/>
          <w:color w:val="auto"/>
          <w:sz w:val="32"/>
          <w:szCs w:val="32"/>
          <w:lang w:eastAsia="zh-CN"/>
        </w:rPr>
        <w:t>区</w:t>
      </w:r>
      <w:r>
        <w:rPr>
          <w:rFonts w:hint="eastAsia" w:ascii="仿宋_GB2312" w:hAnsi="仿宋_GB2312" w:eastAsia="仿宋_GB2312" w:cs="仿宋_GB2312"/>
          <w:color w:val="auto"/>
          <w:sz w:val="32"/>
          <w:szCs w:val="32"/>
        </w:rPr>
        <w:t>农业农村</w:t>
      </w:r>
      <w:r>
        <w:rPr>
          <w:rFonts w:hint="eastAsia" w:ascii="仿宋_GB2312" w:hAnsi="仿宋_GB2312" w:eastAsia="仿宋_GB2312" w:cs="仿宋_GB2312"/>
          <w:color w:val="auto"/>
          <w:sz w:val="32"/>
          <w:szCs w:val="32"/>
          <w:lang w:eastAsia="zh-CN"/>
        </w:rPr>
        <w:t>局应</w:t>
      </w:r>
      <w:r>
        <w:rPr>
          <w:rFonts w:hint="eastAsia" w:ascii="仿宋_GB2312" w:hAnsi="仿宋_GB2312" w:eastAsia="仿宋_GB2312" w:cs="仿宋_GB2312"/>
          <w:color w:val="auto"/>
          <w:sz w:val="32"/>
          <w:szCs w:val="32"/>
        </w:rPr>
        <w:t>会同财政</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rPr>
        <w:t>结合实际情况及时组织调查，并将调查情况经</w:t>
      </w:r>
      <w:r>
        <w:rPr>
          <w:rFonts w:hint="eastAsia" w:ascii="仿宋_GB2312" w:hAnsi="仿宋_GB2312" w:eastAsia="仿宋_GB2312" w:cs="仿宋_GB2312"/>
          <w:color w:val="auto"/>
          <w:sz w:val="32"/>
          <w:szCs w:val="32"/>
          <w:lang w:eastAsia="zh-CN"/>
        </w:rPr>
        <w:t>苏州</w:t>
      </w:r>
      <w:r>
        <w:rPr>
          <w:rFonts w:hint="eastAsia" w:ascii="仿宋_GB2312" w:hAnsi="仿宋_GB2312" w:eastAsia="仿宋_GB2312" w:cs="仿宋_GB2312"/>
          <w:color w:val="auto"/>
          <w:sz w:val="32"/>
          <w:szCs w:val="32"/>
        </w:rPr>
        <w:t>市农业农村</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rPr>
        <w:t>、财政</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rPr>
        <w:t>审核后，报省农业农村厅、省财政厅。对有违规情节的，按相关规定处理；对无违规情节的补贴申请，可按原规定兑付补贴资金，并组织对相关产品及所属档次补贴额进行评估，视情况及时调整。发现同档次同品质的大多数产品价格总体下降幅度较大的，综合研判后，应当及时相应下调此档机具补贴额，如发现劣质产品以低价扰乱市场秩序的，要严肃查处。</w:t>
      </w:r>
    </w:p>
    <w:p>
      <w:pPr>
        <w:spacing w:line="590" w:lineRule="exact"/>
        <w:ind w:firstLine="640" w:firstLineChars="200"/>
        <w:rPr>
          <w:rFonts w:hint="eastAsia" w:ascii="黑体" w:hAnsi="宋体" w:eastAsia="黑体" w:cs="Times New Roman"/>
          <w:color w:val="auto"/>
          <w:sz w:val="32"/>
          <w:szCs w:val="32"/>
        </w:rPr>
      </w:pPr>
      <w:r>
        <w:rPr>
          <w:rFonts w:hint="eastAsia" w:ascii="黑体" w:hAnsi="宋体" w:eastAsia="黑体" w:cs="Times New Roman"/>
          <w:color w:val="auto"/>
          <w:sz w:val="32"/>
          <w:szCs w:val="32"/>
          <w:lang w:eastAsia="zh-CN"/>
        </w:rPr>
        <w:t>四</w:t>
      </w:r>
      <w:r>
        <w:rPr>
          <w:rFonts w:hint="eastAsia" w:ascii="黑体" w:hAnsi="宋体" w:eastAsia="黑体" w:cs="Times New Roman"/>
          <w:color w:val="auto"/>
          <w:sz w:val="32"/>
          <w:szCs w:val="32"/>
        </w:rPr>
        <w:t>、补贴执行时间</w:t>
      </w:r>
    </w:p>
    <w:p>
      <w:pPr>
        <w:tabs>
          <w:tab w:val="left" w:pos="540"/>
        </w:tabs>
        <w:spacing w:line="59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跨</w:t>
      </w:r>
      <w:r>
        <w:rPr>
          <w:rFonts w:hint="eastAsia" w:ascii="仿宋_GB2312" w:hAnsi="仿宋_GB2312" w:eastAsia="仿宋_GB2312" w:cs="仿宋_GB2312"/>
          <w:color w:val="auto"/>
          <w:sz w:val="32"/>
          <w:szCs w:val="32"/>
        </w:rPr>
        <w:t>年连续开放农机购置</w:t>
      </w:r>
      <w:r>
        <w:rPr>
          <w:rFonts w:hint="eastAsia" w:ascii="仿宋_GB2312" w:hAnsi="仿宋_GB2312" w:eastAsia="仿宋_GB2312" w:cs="仿宋_GB2312"/>
          <w:color w:val="auto"/>
          <w:sz w:val="32"/>
          <w:szCs w:val="32"/>
          <w:lang w:eastAsia="zh-CN"/>
        </w:rPr>
        <w:t>与应用</w:t>
      </w:r>
      <w:r>
        <w:rPr>
          <w:rFonts w:hint="eastAsia" w:ascii="仿宋_GB2312" w:hAnsi="仿宋_GB2312" w:eastAsia="仿宋_GB2312" w:cs="仿宋_GB2312"/>
          <w:color w:val="auto"/>
          <w:sz w:val="32"/>
          <w:szCs w:val="32"/>
        </w:rPr>
        <w:t>补贴的申请受理，补贴申领原则上当年有效。确因补贴资金规模不足或办理流程紧张无法享受的，可在下一年度优先兑付。</w:t>
      </w:r>
    </w:p>
    <w:p>
      <w:pPr>
        <w:spacing w:line="590" w:lineRule="exact"/>
        <w:ind w:firstLine="640" w:firstLineChars="200"/>
        <w:rPr>
          <w:rFonts w:hint="eastAsia" w:ascii="黑体" w:hAnsi="宋体" w:eastAsia="黑体" w:cs="Times New Roman"/>
          <w:color w:val="auto"/>
          <w:sz w:val="32"/>
          <w:szCs w:val="32"/>
        </w:rPr>
      </w:pPr>
      <w:r>
        <w:rPr>
          <w:rFonts w:hint="eastAsia" w:ascii="黑体" w:hAnsi="宋体" w:eastAsia="黑体" w:cs="Times New Roman"/>
          <w:color w:val="auto"/>
          <w:sz w:val="32"/>
          <w:szCs w:val="32"/>
        </w:rPr>
        <w:t>五、操作程序</w:t>
      </w:r>
    </w:p>
    <w:p>
      <w:pPr>
        <w:spacing w:line="590" w:lineRule="exact"/>
        <w:ind w:firstLine="643"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kern w:val="0"/>
          <w:sz w:val="32"/>
          <w:szCs w:val="32"/>
        </w:rPr>
        <w:t>（一）</w:t>
      </w:r>
      <w:r>
        <w:rPr>
          <w:rFonts w:hint="eastAsia" w:ascii="仿宋_GB2312" w:hAnsi="仿宋_GB2312" w:eastAsia="仿宋_GB2312" w:cs="仿宋_GB2312"/>
          <w:b/>
          <w:bCs/>
          <w:color w:val="auto"/>
          <w:sz w:val="32"/>
          <w:szCs w:val="32"/>
        </w:rPr>
        <w:t>自主购机</w:t>
      </w:r>
    </w:p>
    <w:p>
      <w:pPr>
        <w:spacing w:line="59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补贴对象到符合条件的供货单位（补贴产品生产企业或其指定的经销商）自主办理购机手续。按市场化原则自行与农机产销企业协商确定购机价格与支付方式，保留转账付款交易记录，原则上购机价格在5000元以上的鼓励非现金方式支付购机款</w:t>
      </w:r>
      <w:r>
        <w:rPr>
          <w:rFonts w:hint="eastAsia" w:ascii="仿宋_GB2312" w:hAnsi="仿宋_GB2312" w:eastAsia="仿宋_GB2312" w:cs="仿宋_GB2312"/>
          <w:color w:val="auto"/>
          <w:sz w:val="32"/>
          <w:szCs w:val="32"/>
          <w:lang w:eastAsia="zh-CN"/>
        </w:rPr>
        <w:t>。按责权一致性原则，交易双方应</w:t>
      </w:r>
      <w:r>
        <w:rPr>
          <w:rFonts w:hint="eastAsia" w:ascii="仿宋_GB2312" w:hAnsi="仿宋_GB2312" w:eastAsia="仿宋_GB2312" w:cs="仿宋_GB2312"/>
          <w:color w:val="auto"/>
          <w:sz w:val="32"/>
          <w:szCs w:val="32"/>
        </w:rPr>
        <w:t>对交易行为真实性、有效性和可能发生的纠纷承担法律责任。</w:t>
      </w:r>
    </w:p>
    <w:p>
      <w:pPr>
        <w:spacing w:line="59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购机者对其购置的补贴机具拥有所有权，自主使用，可依法依规处置。</w:t>
      </w:r>
    </w:p>
    <w:p>
      <w:pPr>
        <w:adjustRightInd w:val="0"/>
        <w:snapToGrid w:val="0"/>
        <w:spacing w:line="590" w:lineRule="exact"/>
        <w:ind w:firstLine="643" w:firstLineChars="200"/>
        <w:rPr>
          <w:rFonts w:hint="eastAsia" w:ascii="仿宋_GB2312" w:hAnsi="仿宋_GB2312" w:eastAsia="仿宋_GB2312" w:cs="仿宋_GB2312"/>
          <w:b/>
          <w:bCs/>
          <w:color w:val="auto"/>
          <w:sz w:val="32"/>
          <w:szCs w:val="32"/>
        </w:rPr>
      </w:pPr>
      <w:r>
        <w:rPr>
          <w:rFonts w:hint="eastAsia" w:ascii="仿宋_GB2312" w:hAnsi="仿宋_GB2312" w:eastAsia="仿宋_GB2312" w:cs="仿宋_GB2312"/>
          <w:b/>
          <w:bCs/>
          <w:color w:val="auto"/>
          <w:sz w:val="32"/>
          <w:szCs w:val="32"/>
        </w:rPr>
        <w:t>（二）补贴资金申请结算</w:t>
      </w:r>
    </w:p>
    <w:p>
      <w:pPr>
        <w:spacing w:line="560" w:lineRule="exact"/>
        <w:ind w:firstLine="640" w:firstLineChars="200"/>
        <w:rPr>
          <w:rFonts w:hint="eastAsia" w:ascii="仿宋_GB2312" w:hAnsi="仿宋_GB2312" w:eastAsia="仿宋_GB2312" w:cs="仿宋_GB2312"/>
          <w:color w:val="auto"/>
          <w:spacing w:val="-2"/>
          <w:kern w:val="2"/>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.受理补贴申请</w:t>
      </w:r>
      <w:r>
        <w:rPr>
          <w:rFonts w:hint="eastAsia" w:ascii="仿宋_GB2312" w:hAnsi="仿宋_GB2312" w:eastAsia="仿宋_GB2312" w:cs="仿宋_GB2312"/>
          <w:color w:val="auto"/>
          <w:sz w:val="32"/>
          <w:szCs w:val="32"/>
          <w:lang w:eastAsia="zh-CN"/>
        </w:rPr>
        <w:t>：镇（街道）农村工作局农机管理部门是补贴申请受理主体，</w:t>
      </w:r>
      <w:r>
        <w:rPr>
          <w:rFonts w:hint="eastAsia" w:ascii="仿宋_GB2312" w:hAnsi="仿宋_GB2312" w:eastAsia="仿宋_GB2312" w:cs="仿宋_GB2312"/>
          <w:color w:val="auto"/>
          <w:spacing w:val="-2"/>
          <w:kern w:val="2"/>
          <w:sz w:val="32"/>
          <w:szCs w:val="32"/>
        </w:rPr>
        <w:t>受理申请应对补贴相关申请资料进行形式审核并于2个工作日内做出是否受理的决定，对因资料不齐全不规范等原因无法受理的，应注明原因，并按原渠道退回申请。</w:t>
      </w:r>
      <w:r>
        <w:rPr>
          <w:rFonts w:hint="eastAsia" w:ascii="仿宋_GB2312" w:hAnsi="仿宋_GB2312" w:eastAsia="仿宋_GB2312" w:cs="仿宋_GB2312"/>
          <w:color w:val="auto"/>
          <w:sz w:val="32"/>
          <w:szCs w:val="32"/>
        </w:rPr>
        <w:t>镇（街道）</w:t>
      </w:r>
      <w:r>
        <w:rPr>
          <w:rFonts w:hint="eastAsia" w:ascii="仿宋_GB2312" w:hAnsi="仿宋_GB2312" w:eastAsia="仿宋_GB2312" w:cs="仿宋_GB2312"/>
          <w:color w:val="auto"/>
          <w:spacing w:val="-2"/>
          <w:kern w:val="2"/>
          <w:sz w:val="32"/>
          <w:szCs w:val="32"/>
        </w:rPr>
        <w:t>农机部门在受理补贴申请</w:t>
      </w:r>
      <w:r>
        <w:rPr>
          <w:rFonts w:hint="eastAsia" w:ascii="仿宋_GB2312" w:hAnsi="仿宋_GB2312" w:eastAsia="仿宋_GB2312" w:cs="仿宋_GB2312"/>
          <w:color w:val="auto"/>
          <w:spacing w:val="-2"/>
          <w:kern w:val="2"/>
          <w:sz w:val="32"/>
          <w:szCs w:val="32"/>
          <w:lang w:eastAsia="zh-CN"/>
        </w:rPr>
        <w:t>后，可系统内打印申请材料</w:t>
      </w:r>
      <w:r>
        <w:rPr>
          <w:rFonts w:hint="eastAsia" w:ascii="仿宋_GB2312" w:hAnsi="仿宋_GB2312" w:eastAsia="仿宋_GB2312" w:cs="仿宋_GB2312"/>
          <w:color w:val="auto"/>
          <w:spacing w:val="-2"/>
          <w:kern w:val="2"/>
          <w:sz w:val="32"/>
          <w:szCs w:val="32"/>
        </w:rPr>
        <w:t>，</w:t>
      </w:r>
      <w:r>
        <w:rPr>
          <w:rFonts w:hint="eastAsia" w:ascii="仿宋_GB2312" w:hAnsi="仿宋_GB2312" w:eastAsia="仿宋_GB2312" w:cs="仿宋_GB2312"/>
          <w:color w:val="auto"/>
          <w:spacing w:val="-2"/>
          <w:kern w:val="2"/>
          <w:sz w:val="32"/>
          <w:szCs w:val="32"/>
          <w:lang w:eastAsia="zh-CN"/>
        </w:rPr>
        <w:t>其中：</w:t>
      </w:r>
      <w:r>
        <w:rPr>
          <w:rFonts w:hint="eastAsia" w:ascii="仿宋_GB2312" w:hAnsi="仿宋_GB2312" w:eastAsia="仿宋_GB2312" w:cs="仿宋_GB2312"/>
          <w:color w:val="auto"/>
          <w:spacing w:val="-2"/>
          <w:kern w:val="2"/>
          <w:sz w:val="32"/>
          <w:szCs w:val="32"/>
        </w:rPr>
        <w:t>应审慎确认补贴申请人周知申请农机购置补贴承诺书内容，了解补贴标准调整风险，并亲自签署《农机购置补贴资金申请表》（一式三份）《农机购置补贴资金申请告知承诺书》（一式两份）；当场审核购机者补贴申请资格，确认购机行为、购机价格真实性；线上录入补贴信息或根据补贴系统中</w:t>
      </w:r>
      <w:r>
        <w:rPr>
          <w:rFonts w:hint="eastAsia" w:ascii="仿宋_GB2312" w:hAnsi="仿宋_GB2312" w:eastAsia="仿宋_GB2312" w:cs="仿宋_GB2312"/>
          <w:color w:val="auto"/>
          <w:spacing w:val="-2"/>
          <w:kern w:val="2"/>
          <w:sz w:val="32"/>
          <w:szCs w:val="32"/>
          <w:lang w:eastAsia="zh-CN"/>
        </w:rPr>
        <w:t>，</w:t>
      </w:r>
      <w:r>
        <w:rPr>
          <w:rFonts w:hint="eastAsia" w:ascii="仿宋_GB2312" w:hAnsi="仿宋_GB2312" w:eastAsia="仿宋_GB2312" w:cs="仿宋_GB2312"/>
          <w:color w:val="auto"/>
          <w:spacing w:val="-2"/>
          <w:kern w:val="2"/>
          <w:sz w:val="32"/>
          <w:szCs w:val="32"/>
        </w:rPr>
        <w:t>购机人通过</w:t>
      </w:r>
      <w:r>
        <w:rPr>
          <w:rFonts w:hint="eastAsia" w:ascii="仿宋_GB2312" w:hAnsi="仿宋_GB2312" w:eastAsia="仿宋_GB2312" w:cs="仿宋_GB2312"/>
          <w:color w:val="auto"/>
          <w:spacing w:val="-2"/>
          <w:kern w:val="2"/>
          <w:sz w:val="32"/>
          <w:szCs w:val="32"/>
          <w:lang w:eastAsia="zh-CN"/>
        </w:rPr>
        <w:t>“苏服办”</w:t>
      </w:r>
      <w:r>
        <w:rPr>
          <w:rFonts w:hint="eastAsia" w:ascii="仿宋_GB2312" w:hAnsi="仿宋_GB2312" w:eastAsia="仿宋_GB2312" w:cs="仿宋_GB2312"/>
          <w:color w:val="auto"/>
          <w:spacing w:val="-2"/>
          <w:kern w:val="2"/>
          <w:sz w:val="32"/>
          <w:szCs w:val="32"/>
        </w:rPr>
        <w:t>、微信小程序自行录入的补贴人、机信息</w:t>
      </w:r>
      <w:r>
        <w:rPr>
          <w:rFonts w:hint="eastAsia" w:ascii="仿宋_GB2312" w:hAnsi="仿宋_GB2312" w:eastAsia="仿宋_GB2312" w:cs="仿宋_GB2312"/>
          <w:color w:val="auto"/>
          <w:spacing w:val="-2"/>
          <w:kern w:val="2"/>
          <w:sz w:val="32"/>
          <w:szCs w:val="32"/>
          <w:lang w:eastAsia="zh-CN"/>
        </w:rPr>
        <w:t>，</w:t>
      </w:r>
      <w:r>
        <w:rPr>
          <w:rFonts w:hint="eastAsia" w:ascii="仿宋_GB2312" w:hAnsi="仿宋_GB2312" w:eastAsia="仿宋_GB2312" w:cs="仿宋_GB2312"/>
          <w:color w:val="auto"/>
          <w:spacing w:val="-2"/>
          <w:kern w:val="2"/>
          <w:sz w:val="32"/>
          <w:szCs w:val="32"/>
        </w:rPr>
        <w:t>及时比对信息一致性</w:t>
      </w:r>
      <w:r>
        <w:rPr>
          <w:rFonts w:hint="eastAsia" w:ascii="仿宋_GB2312" w:hAnsi="仿宋_GB2312" w:eastAsia="仿宋_GB2312" w:cs="仿宋_GB2312"/>
          <w:color w:val="auto"/>
          <w:spacing w:val="-2"/>
          <w:kern w:val="2"/>
          <w:sz w:val="32"/>
          <w:szCs w:val="32"/>
          <w:lang w:eastAsia="zh-CN"/>
        </w:rPr>
        <w:t>。</w:t>
      </w:r>
      <w:r>
        <w:rPr>
          <w:rFonts w:hint="eastAsia" w:ascii="仿宋_GB2312" w:hAnsi="仿宋_GB2312" w:eastAsia="仿宋_GB2312" w:cs="仿宋_GB2312"/>
          <w:color w:val="auto"/>
          <w:spacing w:val="-2"/>
          <w:kern w:val="2"/>
          <w:sz w:val="32"/>
          <w:szCs w:val="32"/>
        </w:rPr>
        <w:t>引导购机者在录入信息后，及时</w:t>
      </w:r>
      <w:r>
        <w:rPr>
          <w:rFonts w:hint="eastAsia" w:ascii="仿宋_GB2312" w:hAnsi="仿宋_GB2312" w:eastAsia="仿宋_GB2312" w:cs="仿宋_GB2312"/>
          <w:color w:val="auto"/>
          <w:spacing w:val="-2"/>
          <w:kern w:val="2"/>
          <w:sz w:val="32"/>
          <w:szCs w:val="32"/>
          <w:lang w:eastAsia="zh-CN"/>
        </w:rPr>
        <w:t>并完整</w:t>
      </w:r>
      <w:r>
        <w:rPr>
          <w:rFonts w:hint="eastAsia" w:ascii="仿宋_GB2312" w:hAnsi="仿宋_GB2312" w:eastAsia="仿宋_GB2312" w:cs="仿宋_GB2312"/>
          <w:color w:val="auto"/>
          <w:spacing w:val="-2"/>
          <w:kern w:val="2"/>
          <w:sz w:val="32"/>
          <w:szCs w:val="32"/>
        </w:rPr>
        <w:t>提交包括转账付款记录在内的补贴申请资料，非本</w:t>
      </w:r>
      <w:r>
        <w:rPr>
          <w:rFonts w:hint="eastAsia" w:ascii="仿宋_GB2312" w:hAnsi="仿宋_GB2312" w:eastAsia="仿宋_GB2312" w:cs="仿宋_GB2312"/>
          <w:color w:val="auto"/>
          <w:spacing w:val="-2"/>
          <w:kern w:val="2"/>
          <w:sz w:val="32"/>
          <w:szCs w:val="32"/>
          <w:lang w:eastAsia="zh-CN"/>
        </w:rPr>
        <w:t>辖区</w:t>
      </w:r>
      <w:r>
        <w:rPr>
          <w:rFonts w:hint="eastAsia" w:ascii="仿宋_GB2312" w:hAnsi="仿宋_GB2312" w:eastAsia="仿宋_GB2312" w:cs="仿宋_GB2312"/>
          <w:color w:val="auto"/>
          <w:spacing w:val="-2"/>
          <w:kern w:val="2"/>
          <w:sz w:val="32"/>
          <w:szCs w:val="32"/>
        </w:rPr>
        <w:t>的购机者应提供县级</w:t>
      </w:r>
      <w:r>
        <w:rPr>
          <w:rFonts w:hint="eastAsia" w:ascii="仿宋_GB2312" w:hAnsi="仿宋_GB2312" w:eastAsia="仿宋_GB2312" w:cs="仿宋_GB2312"/>
          <w:color w:val="auto"/>
          <w:spacing w:val="-2"/>
          <w:kern w:val="2"/>
          <w:sz w:val="32"/>
          <w:szCs w:val="32"/>
          <w:lang w:eastAsia="zh-CN"/>
        </w:rPr>
        <w:t>工作</w:t>
      </w:r>
      <w:r>
        <w:rPr>
          <w:rFonts w:hint="eastAsia" w:ascii="仿宋_GB2312" w:hAnsi="仿宋_GB2312" w:eastAsia="仿宋_GB2312" w:cs="仿宋_GB2312"/>
          <w:color w:val="auto"/>
          <w:spacing w:val="-2"/>
          <w:kern w:val="2"/>
          <w:sz w:val="32"/>
          <w:szCs w:val="32"/>
        </w:rPr>
        <w:t>方案中规定的相应材料</w:t>
      </w:r>
    </w:p>
    <w:p>
      <w:pPr>
        <w:numPr>
          <w:ilvl w:val="0"/>
          <w:numId w:val="2"/>
        </w:numPr>
        <w:spacing w:line="560" w:lineRule="exact"/>
        <w:ind w:firstLine="632" w:firstLineChars="200"/>
        <w:rPr>
          <w:rFonts w:hint="eastAsia" w:ascii="仿宋_GB2312" w:hAnsi="仿宋_GB2312" w:eastAsia="仿宋_GB2312" w:cs="仿宋_GB2312"/>
          <w:color w:val="auto"/>
          <w:spacing w:val="-2"/>
          <w:kern w:val="2"/>
          <w:sz w:val="32"/>
          <w:szCs w:val="32"/>
        </w:rPr>
      </w:pPr>
      <w:r>
        <w:rPr>
          <w:rFonts w:hint="eastAsia" w:ascii="仿宋_GB2312" w:hAnsi="仿宋_GB2312" w:eastAsia="仿宋_GB2312" w:cs="仿宋_GB2312"/>
          <w:color w:val="auto"/>
          <w:spacing w:val="-2"/>
          <w:kern w:val="2"/>
          <w:sz w:val="32"/>
          <w:szCs w:val="32"/>
          <w:lang w:val="en-US" w:eastAsia="zh-CN"/>
        </w:rPr>
        <w:t>机具核验：</w:t>
      </w:r>
      <w:r>
        <w:rPr>
          <w:rFonts w:hint="eastAsia" w:ascii="仿宋_GB2312" w:hAnsi="仿宋_GB2312" w:eastAsia="仿宋_GB2312" w:cs="仿宋_GB2312"/>
          <w:color w:val="auto"/>
          <w:spacing w:val="-2"/>
          <w:kern w:val="2"/>
          <w:sz w:val="32"/>
          <w:szCs w:val="32"/>
        </w:rPr>
        <w:t>对符合条件已受理的补贴申请，</w:t>
      </w:r>
      <w:r>
        <w:rPr>
          <w:rFonts w:hint="eastAsia" w:ascii="仿宋_GB2312" w:hAnsi="仿宋_GB2312" w:eastAsia="仿宋_GB2312" w:cs="仿宋_GB2312"/>
          <w:color w:val="auto"/>
          <w:sz w:val="32"/>
          <w:szCs w:val="32"/>
          <w:lang w:eastAsia="zh-CN"/>
        </w:rPr>
        <w:t>区、镇（街道）农机部门</w:t>
      </w:r>
      <w:r>
        <w:rPr>
          <w:rFonts w:hint="eastAsia" w:ascii="仿宋_GB2312" w:hAnsi="仿宋_GB2312" w:eastAsia="仿宋_GB2312" w:cs="仿宋_GB2312"/>
          <w:color w:val="auto"/>
          <w:spacing w:val="-2"/>
          <w:kern w:val="2"/>
          <w:sz w:val="32"/>
          <w:szCs w:val="32"/>
        </w:rPr>
        <w:t>应于13个工作日内完成规定的现场核验。</w:t>
      </w:r>
    </w:p>
    <w:p>
      <w:pPr>
        <w:spacing w:line="59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区镇（街道）农机部门要</w:t>
      </w:r>
      <w:r>
        <w:rPr>
          <w:rFonts w:hint="eastAsia" w:ascii="仿宋_GB2312" w:hAnsi="仿宋_GB2312" w:eastAsia="仿宋_GB2312" w:cs="仿宋_GB2312"/>
          <w:color w:val="auto"/>
          <w:sz w:val="32"/>
          <w:szCs w:val="32"/>
        </w:rPr>
        <w:t>探索多种核验方式，提高补贴机具核验水平。将纳入我省信息化监测管理补贴机具完成规定作业面积或作业量作为核验的前提条件，探索打造农机管理干部、农机技术人员、第三方机构、有经验有意愿的农机使用一线“土专家”和农机手参加的核验队伍，切实强化核验工作人力资源保障。</w:t>
      </w:r>
    </w:p>
    <w:p>
      <w:pPr>
        <w:spacing w:line="590" w:lineRule="exact"/>
        <w:ind w:firstLine="800" w:firstLineChars="25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对</w:t>
      </w:r>
      <w:r>
        <w:rPr>
          <w:rFonts w:hint="eastAsia" w:ascii="仿宋_GB2312" w:hAnsi="仿宋_GB2312" w:eastAsia="仿宋_GB2312" w:cs="仿宋_GB2312"/>
          <w:color w:val="auto"/>
          <w:sz w:val="32"/>
          <w:szCs w:val="32"/>
          <w:lang w:val="en-US" w:eastAsia="zh-CN"/>
        </w:rPr>
        <w:t>高风险</w:t>
      </w:r>
      <w:r>
        <w:rPr>
          <w:rFonts w:hint="eastAsia" w:ascii="仿宋_GB2312" w:hAnsi="仿宋_GB2312" w:eastAsia="仿宋_GB2312" w:cs="仿宋_GB2312"/>
          <w:color w:val="auto"/>
          <w:sz w:val="32"/>
          <w:szCs w:val="32"/>
        </w:rPr>
        <w:t>机具，应逐台核验；对安装类、设施类或安全风险较高类补贴机具，以及当地初次出现的高额补贴机具，在安装完成且生产应用一段时间后进行现场核验和补贴兑付；对成套设施装备，农业农村部门、财政部门可组织符合条件的第三方开展核验。对单个购机者一次性购机5台以上及一个年度内购机10台以上的机具情况，要重点加强核验。</w:t>
      </w:r>
    </w:p>
    <w:p>
      <w:pPr>
        <w:spacing w:line="560" w:lineRule="exact"/>
        <w:ind w:firstLine="632" w:firstLineChars="200"/>
        <w:rPr>
          <w:rFonts w:hint="eastAsia" w:eastAsia="仿宋_GB2312" w:cs="Times New Roman"/>
          <w:color w:val="auto"/>
          <w:highlight w:val="none"/>
          <w:lang w:eastAsia="zh-CN"/>
        </w:rPr>
      </w:pPr>
      <w:r>
        <w:rPr>
          <w:rFonts w:hint="eastAsia" w:ascii="仿宋_GB2312" w:hAnsi="仿宋_GB2312" w:eastAsia="仿宋_GB2312" w:cs="仿宋_GB2312"/>
          <w:color w:val="auto"/>
          <w:spacing w:val="-2"/>
          <w:kern w:val="2"/>
          <w:sz w:val="32"/>
          <w:szCs w:val="32"/>
        </w:rPr>
        <w:t>补贴机具原则上实行逐台过堂，贯彻落实核验工作要点和江苏省农机购置补贴异常情形报告制度，实地做好补贴机具核验，做好人机合影（一机一照）、登记建档。坚持“谁核查、谁签字、谁负责”，做到“见人、见机、见票、见机具永久铭牌（含拓印件）、见监督标识”,确保不符合申请条件的不受理、申请材料不齐全的不建档。</w:t>
      </w:r>
    </w:p>
    <w:p>
      <w:pPr>
        <w:spacing w:line="590" w:lineRule="exact"/>
        <w:ind w:firstLine="790" w:firstLineChars="25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
          <w:kern w:val="2"/>
          <w:sz w:val="32"/>
          <w:szCs w:val="32"/>
        </w:rPr>
        <w:t>牌证管理机具凭牌证免于现场实物核验。</w:t>
      </w:r>
      <w:r>
        <w:rPr>
          <w:rFonts w:hint="eastAsia" w:ascii="仿宋_GB2312" w:hAnsi="仿宋_GB2312" w:eastAsia="仿宋_GB2312" w:cs="仿宋_GB2312"/>
          <w:color w:val="auto"/>
          <w:sz w:val="32"/>
          <w:szCs w:val="32"/>
        </w:rPr>
        <w:t>牌证管理机具需经农机安全监理机构上牌后再提出补贴申请，“人机合一”照片中，必须见清晰的牌证号。乡镇农机管理人员应及时比对</w:t>
      </w:r>
      <w:r>
        <w:rPr>
          <w:rFonts w:hint="eastAsia" w:ascii="仿宋_GB2312" w:hAnsi="仿宋_GB2312" w:eastAsia="仿宋_GB2312" w:cs="仿宋_GB2312"/>
          <w:color w:val="auto"/>
          <w:spacing w:val="-6"/>
          <w:kern w:val="44"/>
          <w:sz w:val="32"/>
          <w:szCs w:val="32"/>
        </w:rPr>
        <w:t>农机监理信息与农机购置补贴辅助管理系统互联互通信息的一致性，并</w:t>
      </w:r>
      <w:r>
        <w:rPr>
          <w:rFonts w:hint="eastAsia" w:ascii="仿宋_GB2312" w:hAnsi="仿宋_GB2312" w:eastAsia="仿宋_GB2312" w:cs="仿宋_GB2312"/>
          <w:color w:val="auto"/>
          <w:sz w:val="32"/>
          <w:szCs w:val="32"/>
          <w:lang w:eastAsia="zh-CN"/>
        </w:rPr>
        <w:t>完善</w:t>
      </w:r>
      <w:r>
        <w:rPr>
          <w:rFonts w:hint="eastAsia" w:ascii="仿宋_GB2312" w:hAnsi="仿宋_GB2312" w:eastAsia="仿宋_GB2312" w:cs="仿宋_GB2312"/>
          <w:color w:val="auto"/>
          <w:sz w:val="32"/>
          <w:szCs w:val="32"/>
        </w:rPr>
        <w:t>补贴系统</w:t>
      </w:r>
      <w:r>
        <w:rPr>
          <w:rFonts w:hint="eastAsia" w:ascii="仿宋_GB2312" w:hAnsi="仿宋_GB2312" w:eastAsia="仿宋_GB2312" w:cs="仿宋_GB2312"/>
          <w:color w:val="auto"/>
          <w:sz w:val="32"/>
          <w:szCs w:val="32"/>
          <w:lang w:eastAsia="zh-CN"/>
        </w:rPr>
        <w:t>内有关信息</w:t>
      </w:r>
      <w:r>
        <w:rPr>
          <w:rFonts w:hint="eastAsia" w:ascii="仿宋_GB2312" w:hAnsi="仿宋_GB2312" w:eastAsia="仿宋_GB2312" w:cs="仿宋_GB2312"/>
          <w:color w:val="auto"/>
          <w:sz w:val="32"/>
          <w:szCs w:val="32"/>
        </w:rPr>
        <w:t>。</w:t>
      </w:r>
    </w:p>
    <w:p>
      <w:pPr>
        <w:spacing w:line="590" w:lineRule="exact"/>
        <w:ind w:firstLine="800" w:firstLineChars="25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购置需安装验收农机具的补贴对象在安装完成后提出补贴申请，同时还需提供真实有效的从事相应行业的资质证明或生产经营活动证明，材料包括：营业执照、种养规模面积、经营场所权证等。审验过程中，需确认补贴对象提供的相应行业从业资质，相应生产经营活动证明材料的真实性、有效性，对补贴机具的性能参数按安装确认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附件2）</w:t>
      </w:r>
      <w:r>
        <w:rPr>
          <w:rFonts w:hint="eastAsia" w:ascii="仿宋_GB2312" w:hAnsi="仿宋_GB2312" w:eastAsia="仿宋_GB2312" w:cs="仿宋_GB2312"/>
          <w:color w:val="auto"/>
          <w:sz w:val="32"/>
          <w:szCs w:val="32"/>
        </w:rPr>
        <w:t>标定参数进行核查确认。</w:t>
      </w:r>
    </w:p>
    <w:p>
      <w:pPr>
        <w:numPr>
          <w:ilvl w:val="0"/>
          <w:numId w:val="3"/>
        </w:numPr>
        <w:spacing w:line="59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公示。鼓励镇（街道）农机部门将已核实的购机信息分村或在镇（街道）公告栏中公示，公示期限5个工作日，公示拍照留档，照片信息完整、清晰。有农业信息网站的乡镇，应在网站上同步公示购机信息。公示期间，对于群众提出的异议、违规线索需及时进行调查确认。</w:t>
      </w:r>
    </w:p>
    <w:p>
      <w:pPr>
        <w:spacing w:line="59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公示内容应注意信息安全和隐私保护。   </w:t>
      </w:r>
    </w:p>
    <w:p>
      <w:pPr>
        <w:spacing w:line="59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4.乡镇农机部门出具结算意见。镇（街道）农机部门完成并提交补贴资金结算意见报区级农机部门。</w:t>
      </w:r>
    </w:p>
    <w:p>
      <w:pPr>
        <w:spacing w:line="700" w:lineRule="exact"/>
        <w:ind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补贴档案材料包括：</w:t>
      </w:r>
    </w:p>
    <w:p>
      <w:pPr>
        <w:spacing w:line="700" w:lineRule="exact"/>
        <w:ind w:firstLine="640" w:firstLineChars="200"/>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工作材料：结算报告、汇总表、清册、公示材料等；</w:t>
      </w:r>
    </w:p>
    <w:p>
      <w:pPr>
        <w:spacing w:line="700" w:lineRule="exact"/>
        <w:ind w:firstLine="640" w:firstLineChars="200"/>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购机人申请材料</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pacing w:val="-2"/>
          <w:sz w:val="32"/>
          <w:szCs w:val="32"/>
          <w:u w:val="none"/>
        </w:rPr>
        <w:t>农机购置补贴资金申请表</w:t>
      </w:r>
      <w:r>
        <w:rPr>
          <w:rFonts w:hint="eastAsia" w:ascii="仿宋_GB2312" w:hAnsi="仿宋_GB2312" w:eastAsia="仿宋_GB2312" w:cs="仿宋_GB2312"/>
          <w:color w:val="auto"/>
          <w:sz w:val="32"/>
          <w:szCs w:val="32"/>
          <w:u w:val="none"/>
        </w:rPr>
        <w:t>、</w:t>
      </w:r>
      <w:r>
        <w:rPr>
          <w:rFonts w:hint="eastAsia" w:ascii="仿宋_GB2312" w:hAnsi="仿宋_GB2312" w:eastAsia="仿宋_GB2312" w:cs="仿宋_GB2312"/>
          <w:color w:val="auto"/>
          <w:spacing w:val="-2"/>
          <w:sz w:val="32"/>
          <w:szCs w:val="32"/>
          <w:u w:val="none"/>
        </w:rPr>
        <w:t>农机购置补贴资金申请告知承诺书、</w:t>
      </w:r>
      <w:r>
        <w:rPr>
          <w:rFonts w:hint="eastAsia" w:ascii="仿宋_GB2312" w:hAnsi="仿宋_GB2312" w:eastAsia="仿宋_GB2312" w:cs="仿宋_GB2312"/>
          <w:color w:val="auto"/>
          <w:sz w:val="32"/>
          <w:szCs w:val="32"/>
          <w:u w:val="none"/>
        </w:rPr>
        <w:t>身</w:t>
      </w:r>
      <w:r>
        <w:rPr>
          <w:rFonts w:hint="eastAsia" w:ascii="仿宋_GB2312" w:hAnsi="仿宋_GB2312" w:eastAsia="仿宋_GB2312" w:cs="仿宋_GB2312"/>
          <w:color w:val="auto"/>
          <w:sz w:val="32"/>
          <w:szCs w:val="32"/>
        </w:rPr>
        <w:t>份证明材料、从事农业生产的必要证明材料、资金账号复印件</w:t>
      </w:r>
      <w:r>
        <w:rPr>
          <w:rFonts w:hint="eastAsia" w:ascii="仿宋_GB2312" w:hAnsi="仿宋_GB2312" w:eastAsia="仿宋_GB2312" w:cs="仿宋_GB2312"/>
          <w:color w:val="auto"/>
          <w:sz w:val="32"/>
          <w:szCs w:val="32"/>
          <w:lang w:eastAsia="zh-CN"/>
        </w:rPr>
        <w:t>等；</w:t>
      </w:r>
    </w:p>
    <w:p>
      <w:pPr>
        <w:spacing w:line="700" w:lineRule="exact"/>
        <w:ind w:firstLine="632"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pacing w:val="-2"/>
          <w:sz w:val="32"/>
          <w:szCs w:val="32"/>
          <w:lang w:eastAsia="zh-CN"/>
        </w:rPr>
        <w:t>机具信息材料：</w:t>
      </w:r>
      <w:r>
        <w:rPr>
          <w:rFonts w:hint="eastAsia" w:ascii="仿宋_GB2312" w:hAnsi="仿宋_GB2312" w:eastAsia="仿宋_GB2312" w:cs="仿宋_GB2312"/>
          <w:color w:val="auto"/>
          <w:sz w:val="32"/>
          <w:szCs w:val="32"/>
        </w:rPr>
        <w:t>购机发票复印件</w:t>
      </w:r>
      <w:r>
        <w:rPr>
          <w:rFonts w:hint="eastAsia" w:ascii="仿宋_GB2312" w:hAnsi="仿宋_GB2312" w:eastAsia="仿宋_GB2312" w:cs="仿宋_GB2312"/>
          <w:color w:val="auto"/>
          <w:sz w:val="32"/>
          <w:szCs w:val="32"/>
          <w:lang w:eastAsia="zh-CN"/>
        </w:rPr>
        <w:t>（签署“已办理农机购置补贴”）或电子票据（查伪凭证）、有效转账记录、</w:t>
      </w:r>
      <w:r>
        <w:rPr>
          <w:rFonts w:hint="eastAsia" w:ascii="仿宋_GB2312" w:hAnsi="仿宋_GB2312" w:eastAsia="仿宋_GB2312" w:cs="仿宋_GB2312"/>
          <w:color w:val="auto"/>
          <w:spacing w:val="-2"/>
          <w:sz w:val="32"/>
          <w:szCs w:val="32"/>
        </w:rPr>
        <w:t>人机合一照、监督标识照、实行牌证管理和农机报废更新的机具规定的证明材料、安装确认表等。</w:t>
      </w:r>
    </w:p>
    <w:p>
      <w:pPr>
        <w:spacing w:line="59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区级农机部门审核。形式审查补贴申请资料，核对乡镇报送的购机者清册与管理信息系统数据，确保系统数据与结算数据一致。出具补贴资金结算意见（含补贴资金结算汇总表和购机者清册）报区级财政部门。区级农机部门应在农机购置补贴信息公开专栏上汇总公布所辖乡镇农机补贴受益对象和补贴机具信息。</w:t>
      </w:r>
    </w:p>
    <w:p>
      <w:pPr>
        <w:spacing w:line="59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6.区级财政部门支付补贴资金。根据区级农机部门提供的补贴资金结算意见，按照工作职责,</w:t>
      </w:r>
      <w:r>
        <w:rPr>
          <w:rFonts w:hint="eastAsia" w:ascii="仿宋_GB2312" w:hAnsi="仿宋_GB2312" w:eastAsia="仿宋_GB2312" w:cs="仿宋_GB2312"/>
          <w:color w:val="auto"/>
          <w:sz w:val="32"/>
          <w:szCs w:val="32"/>
          <w:lang w:eastAsia="zh-CN"/>
        </w:rPr>
        <w:t>于收到结算意见</w:t>
      </w:r>
      <w:r>
        <w:rPr>
          <w:rFonts w:hint="eastAsia" w:ascii="仿宋_GB2312" w:hAnsi="仿宋_GB2312" w:eastAsia="仿宋_GB2312" w:cs="仿宋_GB2312"/>
          <w:color w:val="auto"/>
          <w:sz w:val="32"/>
          <w:szCs w:val="32"/>
          <w:lang w:val="en-US" w:eastAsia="zh-CN"/>
        </w:rPr>
        <w:t>15个工作日内</w:t>
      </w:r>
      <w:r>
        <w:rPr>
          <w:rFonts w:hint="eastAsia" w:ascii="仿宋_GB2312" w:hAnsi="仿宋_GB2312" w:eastAsia="仿宋_GB2312" w:cs="仿宋_GB2312"/>
          <w:color w:val="auto"/>
          <w:sz w:val="32"/>
          <w:szCs w:val="32"/>
        </w:rPr>
        <w:t>按清册</w:t>
      </w:r>
      <w:r>
        <w:rPr>
          <w:rFonts w:hint="eastAsia" w:ascii="仿宋_GB2312" w:hAnsi="仿宋_GB2312" w:eastAsia="仿宋_GB2312" w:cs="仿宋_GB2312"/>
          <w:color w:val="auto"/>
          <w:sz w:val="32"/>
          <w:szCs w:val="32"/>
          <w:lang w:eastAsia="zh-CN"/>
        </w:rPr>
        <w:t>通过“一卡通”系统</w:t>
      </w:r>
      <w:r>
        <w:rPr>
          <w:rFonts w:hint="eastAsia" w:ascii="仿宋_GB2312" w:hAnsi="仿宋_GB2312" w:eastAsia="仿宋_GB2312" w:cs="仿宋_GB2312"/>
          <w:color w:val="auto"/>
          <w:sz w:val="32"/>
          <w:szCs w:val="32"/>
        </w:rPr>
        <w:t>拨付补贴资金（注明“农机购置补贴”），并及时将农机补贴资金拨付结果及相应付款凭证反馈区级农机部门。</w:t>
      </w:r>
    </w:p>
    <w:p>
      <w:pPr>
        <w:spacing w:line="590" w:lineRule="exact"/>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补贴申办时限：全面实行补贴申请受理、资金兑付限时办理。一是</w:t>
      </w:r>
      <w:r>
        <w:rPr>
          <w:rFonts w:hint="eastAsia" w:ascii="仿宋_GB2312" w:hAnsi="仿宋_GB2312" w:eastAsia="仿宋_GB2312" w:cs="仿宋_GB2312"/>
          <w:color w:val="auto"/>
          <w:sz w:val="32"/>
          <w:szCs w:val="32"/>
          <w:lang w:eastAsia="zh-CN"/>
        </w:rPr>
        <w:t>镇（街道）农机部门受理补贴</w:t>
      </w:r>
      <w:r>
        <w:rPr>
          <w:rFonts w:hint="eastAsia" w:ascii="仿宋_GB2312" w:hAnsi="仿宋_GB2312" w:eastAsia="仿宋_GB2312" w:cs="仿宋_GB2312"/>
          <w:color w:val="auto"/>
          <w:sz w:val="32"/>
          <w:szCs w:val="32"/>
        </w:rPr>
        <w:t>形式审查为2个工作日，从正式受理到</w:t>
      </w:r>
      <w:r>
        <w:rPr>
          <w:rFonts w:hint="eastAsia" w:ascii="仿宋_GB2312" w:hAnsi="仿宋_GB2312" w:eastAsia="仿宋_GB2312" w:cs="仿宋_GB2312"/>
          <w:color w:val="auto"/>
          <w:sz w:val="32"/>
          <w:szCs w:val="32"/>
          <w:lang w:eastAsia="zh-CN"/>
        </w:rPr>
        <w:t>区、镇（街道）农机部门</w:t>
      </w:r>
      <w:r>
        <w:rPr>
          <w:rFonts w:hint="eastAsia" w:ascii="仿宋_GB2312" w:hAnsi="仿宋_GB2312" w:eastAsia="仿宋_GB2312" w:cs="仿宋_GB2312"/>
          <w:color w:val="auto"/>
          <w:sz w:val="32"/>
          <w:szCs w:val="32"/>
        </w:rPr>
        <w:t>完成核验时间</w:t>
      </w:r>
      <w:r>
        <w:rPr>
          <w:rFonts w:hint="eastAsia" w:ascii="仿宋_GB2312" w:hAnsi="仿宋_GB2312" w:eastAsia="仿宋_GB2312" w:cs="仿宋_GB2312"/>
          <w:color w:val="auto"/>
          <w:sz w:val="32"/>
          <w:szCs w:val="32"/>
          <w:lang w:eastAsia="zh-CN"/>
        </w:rPr>
        <w:t>为</w:t>
      </w:r>
      <w:r>
        <w:rPr>
          <w:rFonts w:hint="eastAsia" w:ascii="仿宋_GB2312" w:hAnsi="仿宋_GB2312" w:eastAsia="仿宋_GB2312" w:cs="仿宋_GB2312"/>
          <w:color w:val="auto"/>
          <w:sz w:val="32"/>
          <w:szCs w:val="32"/>
        </w:rPr>
        <w:t>13个工作日；二是补贴公示时间5个工作日（县级、补贴公开栏公示）</w:t>
      </w:r>
      <w:r>
        <w:rPr>
          <w:rFonts w:hint="eastAsia" w:ascii="仿宋_GB2312" w:hAnsi="仿宋_GB2312" w:eastAsia="仿宋_GB2312" w:cs="仿宋_GB2312"/>
          <w:color w:val="auto"/>
          <w:sz w:val="32"/>
          <w:szCs w:val="32"/>
          <w:lang w:eastAsia="zh-CN"/>
        </w:rPr>
        <w:t>，镇级公示完成时间不晚于县级公示完成时间</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农机部门总的办理时限</w:t>
      </w:r>
      <w:r>
        <w:rPr>
          <w:rFonts w:hint="eastAsia" w:ascii="仿宋_GB2312" w:hAnsi="仿宋_GB2312" w:eastAsia="仿宋_GB2312" w:cs="仿宋_GB2312"/>
          <w:color w:val="auto"/>
          <w:sz w:val="32"/>
          <w:szCs w:val="32"/>
          <w:lang w:val="en-US" w:eastAsia="zh-CN"/>
        </w:rPr>
        <w:t>25个工作日，从完成生成资金申请表到完成申请结算资料提交。</w:t>
      </w:r>
      <w:r>
        <w:rPr>
          <w:rFonts w:hint="eastAsia" w:ascii="仿宋_GB2312" w:hAnsi="仿宋_GB2312" w:eastAsia="仿宋_GB2312" w:cs="仿宋_GB2312"/>
          <w:color w:val="auto"/>
          <w:sz w:val="32"/>
          <w:szCs w:val="32"/>
        </w:rPr>
        <w:t>三是财政部门从农机部门</w:t>
      </w:r>
      <w:r>
        <w:rPr>
          <w:rFonts w:hint="eastAsia" w:ascii="仿宋_GB2312" w:hAnsi="仿宋_GB2312" w:eastAsia="仿宋_GB2312" w:cs="仿宋_GB2312"/>
          <w:color w:val="auto"/>
          <w:sz w:val="32"/>
          <w:szCs w:val="32"/>
          <w:lang w:eastAsia="zh-CN"/>
        </w:rPr>
        <w:t>提交</w:t>
      </w:r>
      <w:r>
        <w:rPr>
          <w:rFonts w:hint="eastAsia" w:ascii="仿宋_GB2312" w:hAnsi="仿宋_GB2312" w:eastAsia="仿宋_GB2312" w:cs="仿宋_GB2312"/>
          <w:color w:val="auto"/>
          <w:sz w:val="32"/>
          <w:szCs w:val="32"/>
        </w:rPr>
        <w:t>结算</w:t>
      </w:r>
      <w:r>
        <w:rPr>
          <w:rFonts w:hint="eastAsia" w:ascii="仿宋_GB2312" w:hAnsi="仿宋_GB2312" w:eastAsia="仿宋_GB2312" w:cs="仿宋_GB2312"/>
          <w:color w:val="auto"/>
          <w:sz w:val="32"/>
          <w:szCs w:val="32"/>
          <w:lang w:eastAsia="zh-CN"/>
        </w:rPr>
        <w:t>申请</w:t>
      </w:r>
      <w:r>
        <w:rPr>
          <w:rFonts w:hint="eastAsia" w:ascii="仿宋_GB2312" w:hAnsi="仿宋_GB2312" w:eastAsia="仿宋_GB2312" w:cs="仿宋_GB2312"/>
          <w:color w:val="auto"/>
          <w:sz w:val="32"/>
          <w:szCs w:val="32"/>
        </w:rPr>
        <w:t>到资金兑付时间</w:t>
      </w:r>
      <w:r>
        <w:rPr>
          <w:rFonts w:hint="eastAsia" w:ascii="仿宋_GB2312" w:hAnsi="仿宋_GB2312" w:eastAsia="仿宋_GB2312" w:cs="仿宋_GB2312"/>
          <w:color w:val="auto"/>
          <w:sz w:val="32"/>
          <w:szCs w:val="32"/>
          <w:lang w:eastAsia="zh-CN"/>
        </w:rPr>
        <w:t>为</w:t>
      </w:r>
      <w:r>
        <w:rPr>
          <w:rFonts w:hint="eastAsia" w:ascii="仿宋_GB2312" w:hAnsi="仿宋_GB2312" w:eastAsia="仿宋_GB2312" w:cs="仿宋_GB2312"/>
          <w:color w:val="auto"/>
          <w:sz w:val="32"/>
          <w:szCs w:val="32"/>
        </w:rPr>
        <w:t>15个工作日。</w:t>
      </w:r>
    </w:p>
    <w:p>
      <w:pPr>
        <w:spacing w:line="59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购机补贴档案：购机者申请结算补贴资金的档案由镇（街道）农机部门归集整理，建档立册后交区级农机部门集中保管，自留副本备查。档案留存期限不少于5年。</w:t>
      </w:r>
    </w:p>
    <w:p>
      <w:pPr>
        <w:spacing w:line="56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关于退货的说明：购机者与经销商协商同意对已补贴机具退货，需将补贴资金退回县级财政部门，再与经销商办理退货。退</w:t>
      </w:r>
      <w:r>
        <w:rPr>
          <w:rFonts w:hint="eastAsia" w:ascii="仿宋_GB2312" w:hAnsi="仿宋_GB2312" w:eastAsia="仿宋_GB2312" w:cs="仿宋_GB2312"/>
          <w:color w:val="auto"/>
          <w:sz w:val="32"/>
          <w:szCs w:val="32"/>
          <w:lang w:val="en-US" w:eastAsia="zh-CN"/>
        </w:rPr>
        <w:t>还</w:t>
      </w:r>
      <w:r>
        <w:rPr>
          <w:rFonts w:hint="eastAsia" w:ascii="仿宋_GB2312" w:hAnsi="仿宋_GB2312" w:eastAsia="仿宋_GB2312" w:cs="仿宋_GB2312"/>
          <w:color w:val="auto"/>
          <w:sz w:val="32"/>
          <w:szCs w:val="32"/>
        </w:rPr>
        <w:t>的补贴资金由县级财政部门</w:t>
      </w:r>
      <w:r>
        <w:rPr>
          <w:rFonts w:hint="eastAsia" w:ascii="仿宋_GB2312" w:hAnsi="仿宋_GB2312" w:eastAsia="仿宋_GB2312" w:cs="仿宋_GB2312"/>
          <w:color w:val="auto"/>
          <w:sz w:val="32"/>
          <w:szCs w:val="32"/>
          <w:lang w:val="en-US" w:eastAsia="zh-CN"/>
        </w:rPr>
        <w:t>作废原资金申请，</w:t>
      </w:r>
      <w:r>
        <w:rPr>
          <w:rFonts w:hint="eastAsia" w:ascii="仿宋_GB2312" w:hAnsi="仿宋_GB2312" w:eastAsia="仿宋_GB2312" w:cs="仿宋_GB2312"/>
          <w:color w:val="auto"/>
          <w:sz w:val="32"/>
          <w:szCs w:val="32"/>
        </w:rPr>
        <w:t>纳入当年补贴资金计划，继续使用。</w:t>
      </w:r>
    </w:p>
    <w:p>
      <w:pPr>
        <w:spacing w:line="590" w:lineRule="exact"/>
        <w:ind w:firstLine="640" w:firstLineChars="200"/>
        <w:rPr>
          <w:rFonts w:hint="eastAsia" w:ascii="仿宋_GB2312" w:hAnsi="仿宋_GB2312" w:eastAsia="仿宋_GB2312" w:cs="仿宋_GB2312"/>
          <w:color w:val="auto"/>
          <w:sz w:val="32"/>
          <w:szCs w:val="32"/>
        </w:rPr>
      </w:pPr>
      <w:r>
        <w:rPr>
          <w:rFonts w:hint="eastAsia" w:ascii="黑体" w:hAnsi="宋体" w:eastAsia="黑体" w:cs="Times New Roman"/>
          <w:color w:val="auto"/>
          <w:sz w:val="32"/>
          <w:szCs w:val="32"/>
        </w:rPr>
        <w:t>六、监督管理</w:t>
      </w:r>
    </w:p>
    <w:p>
      <w:pPr>
        <w:spacing w:line="59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按照《</w:t>
      </w:r>
      <w:r>
        <w:rPr>
          <w:rFonts w:hint="eastAsia" w:ascii="仿宋_GB2312" w:hAnsi="仿宋_GB2312" w:eastAsia="仿宋_GB2312" w:cs="仿宋_GB2312"/>
          <w:color w:val="auto"/>
          <w:sz w:val="32"/>
          <w:szCs w:val="32"/>
        </w:rPr>
        <w:t>2024</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2026年</w:t>
      </w:r>
      <w:r>
        <w:rPr>
          <w:rFonts w:hint="eastAsia" w:ascii="仿宋_GB2312" w:hAnsi="仿宋_GB2312" w:eastAsia="仿宋_GB2312" w:cs="仿宋_GB2312"/>
          <w:color w:val="auto"/>
          <w:sz w:val="32"/>
          <w:szCs w:val="32"/>
          <w:lang w:val="en-US" w:eastAsia="zh-CN"/>
        </w:rPr>
        <w:t>江苏省</w:t>
      </w:r>
      <w:r>
        <w:rPr>
          <w:rFonts w:hint="eastAsia" w:ascii="仿宋_GB2312" w:hAnsi="仿宋_GB2312" w:eastAsia="仿宋_GB2312" w:cs="仿宋_GB2312"/>
          <w:color w:val="auto"/>
          <w:sz w:val="32"/>
          <w:szCs w:val="32"/>
        </w:rPr>
        <w:t>农机购置与应用补贴实施操作要求</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和</w:t>
      </w:r>
      <w:r>
        <w:rPr>
          <w:rFonts w:hint="eastAsia" w:ascii="仿宋_GB2312" w:hAnsi="仿宋_GB2312" w:eastAsia="仿宋_GB2312" w:cs="仿宋_GB2312"/>
          <w:color w:val="auto"/>
          <w:sz w:val="32"/>
          <w:szCs w:val="32"/>
        </w:rPr>
        <w:t>补贴机具种类范围的规定，为管好用好农机购置补贴资金，确保实施成效，对补贴参与方实施有效的连续监管。</w:t>
      </w:r>
    </w:p>
    <w:p>
      <w:pPr>
        <w:numPr>
          <w:ilvl w:val="0"/>
          <w:numId w:val="4"/>
        </w:numPr>
        <w:spacing w:line="590" w:lineRule="exact"/>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强化责任落实和协同配合。</w:t>
      </w:r>
    </w:p>
    <w:p>
      <w:pPr>
        <w:numPr>
          <w:ilvl w:val="0"/>
          <w:numId w:val="0"/>
        </w:numPr>
        <w:spacing w:line="59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区</w:t>
      </w:r>
      <w:r>
        <w:rPr>
          <w:rFonts w:hint="eastAsia" w:ascii="仿宋_GB2312" w:hAnsi="仿宋_GB2312" w:eastAsia="仿宋_GB2312" w:cs="仿宋_GB2312"/>
          <w:color w:val="auto"/>
          <w:sz w:val="32"/>
          <w:szCs w:val="32"/>
        </w:rPr>
        <w:t>农业农村</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rPr>
        <w:t>、财政</w:t>
      </w:r>
      <w:r>
        <w:rPr>
          <w:rFonts w:hint="eastAsia" w:ascii="仿宋_GB2312" w:hAnsi="仿宋_GB2312" w:eastAsia="仿宋_GB2312" w:cs="仿宋_GB2312"/>
          <w:color w:val="auto"/>
          <w:sz w:val="32"/>
          <w:szCs w:val="32"/>
          <w:lang w:eastAsia="zh-CN"/>
        </w:rPr>
        <w:t>局完善区</w:t>
      </w:r>
      <w:r>
        <w:rPr>
          <w:rFonts w:hint="eastAsia" w:ascii="仿宋_GB2312" w:hAnsi="仿宋_GB2312" w:eastAsia="仿宋_GB2312" w:cs="仿宋_GB2312"/>
          <w:color w:val="auto"/>
          <w:sz w:val="32"/>
          <w:szCs w:val="32"/>
        </w:rPr>
        <w:t>政府领导下的联合实施和监管机制，切实加强组织协调，密切沟通配合，健全完善风险防控工作制度和内部控制规程，形成工作合力，共同组织做好本地区农机购置与应用补贴政策实施工作。</w:t>
      </w:r>
    </w:p>
    <w:p>
      <w:pPr>
        <w:numPr>
          <w:ilvl w:val="0"/>
          <w:numId w:val="0"/>
        </w:numPr>
        <w:spacing w:line="590" w:lineRule="exact"/>
        <w:ind w:firstLine="640" w:firstLineChars="200"/>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要落实区镇（街道）农机购置与应用补贴岗位工作人员，明确岗位责任，确保“工作有人抓、事情有人干”。</w:t>
      </w:r>
      <w:r>
        <w:rPr>
          <w:rFonts w:hint="eastAsia" w:ascii="仿宋_GB2312" w:hAnsi="仿宋_GB2312" w:eastAsia="仿宋_GB2312" w:cs="仿宋_GB2312"/>
          <w:color w:val="auto"/>
          <w:sz w:val="32"/>
          <w:szCs w:val="32"/>
        </w:rPr>
        <w:t>明确职责分工，深入落实</w:t>
      </w:r>
      <w:r>
        <w:rPr>
          <w:rFonts w:hint="eastAsia" w:ascii="仿宋_GB2312" w:hAnsi="仿宋_GB2312" w:eastAsia="仿宋_GB2312" w:cs="仿宋_GB2312"/>
          <w:color w:val="auto"/>
          <w:sz w:val="32"/>
          <w:szCs w:val="32"/>
          <w:lang w:eastAsia="zh-CN"/>
        </w:rPr>
        <w:t>区</w:t>
      </w:r>
      <w:r>
        <w:rPr>
          <w:rFonts w:hint="eastAsia" w:ascii="仿宋_GB2312" w:hAnsi="仿宋_GB2312" w:eastAsia="仿宋_GB2312" w:cs="仿宋_GB2312"/>
          <w:color w:val="auto"/>
          <w:sz w:val="32"/>
          <w:szCs w:val="32"/>
        </w:rPr>
        <w:t>农业农村</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rPr>
        <w:t>组织实施、审核监管责任和财政</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rPr>
        <w:t>资金兑付、资金监管责任。</w:t>
      </w:r>
      <w:r>
        <w:rPr>
          <w:rFonts w:hint="eastAsia" w:ascii="仿宋_GB2312" w:hAnsi="仿宋_GB2312" w:eastAsia="仿宋_GB2312" w:cs="仿宋_GB2312"/>
          <w:color w:val="auto"/>
          <w:sz w:val="32"/>
          <w:szCs w:val="32"/>
          <w:lang w:val="en-US" w:eastAsia="zh-CN"/>
        </w:rPr>
        <w:t>按照七部门联合印发</w:t>
      </w:r>
      <w:r>
        <w:rPr>
          <w:rFonts w:hint="eastAsia" w:ascii="仿宋_GB2312" w:hAnsi="仿宋_GB2312" w:eastAsia="仿宋_GB2312" w:cs="仿宋_GB2312"/>
          <w:color w:val="auto"/>
          <w:sz w:val="32"/>
          <w:szCs w:val="32"/>
        </w:rPr>
        <w:t>《关于进一步加强农机购置与应用补贴监管工作的意见》（苏农机〔2024〕3号）等要求，</w:t>
      </w:r>
      <w:r>
        <w:rPr>
          <w:rFonts w:hint="eastAsia" w:ascii="仿宋_GB2312" w:hAnsi="仿宋_GB2312" w:eastAsia="仿宋_GB2312" w:cs="仿宋_GB2312"/>
          <w:color w:val="auto"/>
          <w:sz w:val="32"/>
          <w:szCs w:val="32"/>
          <w:lang w:val="en-US" w:eastAsia="zh-CN"/>
        </w:rPr>
        <w:t>加强各部门间的协同配合，会同区发改、工信、公安、市场监管、税务等部门依照各自职责对本辖区内农机购置与应用补贴政策实施加强监督，依法打击骗补套补等违法违规行为，</w:t>
      </w:r>
      <w:r>
        <w:rPr>
          <w:rFonts w:hint="eastAsia" w:ascii="仿宋_GB2312" w:hAnsi="仿宋_GB2312" w:eastAsia="仿宋_GB2312" w:cs="仿宋_GB2312"/>
          <w:color w:val="auto"/>
          <w:sz w:val="32"/>
          <w:szCs w:val="32"/>
        </w:rPr>
        <w:t>形成管理闭环，切实提升政策实施</w:t>
      </w:r>
      <w:r>
        <w:rPr>
          <w:rFonts w:hint="eastAsia" w:ascii="仿宋_GB2312" w:hAnsi="仿宋_GB2312" w:eastAsia="仿宋_GB2312" w:cs="仿宋_GB2312"/>
          <w:color w:val="auto"/>
          <w:sz w:val="32"/>
          <w:szCs w:val="32"/>
          <w:lang w:val="en-US" w:eastAsia="zh-CN"/>
        </w:rPr>
        <w:t>监管能</w:t>
      </w:r>
      <w:r>
        <w:rPr>
          <w:rFonts w:hint="eastAsia" w:ascii="仿宋_GB2312" w:hAnsi="仿宋_GB2312" w:eastAsia="仿宋_GB2312" w:cs="仿宋_GB2312"/>
          <w:color w:val="auto"/>
          <w:sz w:val="32"/>
          <w:szCs w:val="32"/>
        </w:rPr>
        <w:t>力水平。</w:t>
      </w:r>
    </w:p>
    <w:p>
      <w:pPr>
        <w:numPr>
          <w:ilvl w:val="0"/>
          <w:numId w:val="4"/>
        </w:numPr>
        <w:spacing w:line="590" w:lineRule="exact"/>
        <w:ind w:left="0" w:leftChars="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强化技术支撑和服务能力</w:t>
      </w:r>
      <w:r>
        <w:rPr>
          <w:rFonts w:hint="eastAsia" w:ascii="仿宋_GB2312" w:hAnsi="仿宋_GB2312" w:eastAsia="仿宋_GB2312" w:cs="仿宋_GB2312"/>
          <w:color w:val="auto"/>
          <w:sz w:val="32"/>
          <w:szCs w:val="32"/>
        </w:rPr>
        <w:t>。</w:t>
      </w:r>
    </w:p>
    <w:p>
      <w:pPr>
        <w:numPr>
          <w:ilvl w:val="0"/>
          <w:numId w:val="0"/>
        </w:numPr>
        <w:spacing w:line="240" w:lineRule="auto"/>
        <w:ind w:left="0" w:leftChars="0" w:firstLine="640" w:firstLineChars="200"/>
        <w:jc w:val="both"/>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区</w:t>
      </w:r>
      <w:r>
        <w:rPr>
          <w:rFonts w:hint="eastAsia" w:ascii="仿宋_GB2312" w:hAnsi="仿宋_GB2312" w:eastAsia="仿宋_GB2312" w:cs="仿宋_GB2312"/>
          <w:color w:val="auto"/>
          <w:sz w:val="32"/>
          <w:szCs w:val="32"/>
        </w:rPr>
        <w:t>农业农村</w:t>
      </w:r>
      <w:r>
        <w:rPr>
          <w:rFonts w:hint="eastAsia" w:ascii="仿宋_GB2312" w:hAnsi="仿宋_GB2312" w:eastAsia="仿宋_GB2312" w:cs="仿宋_GB2312"/>
          <w:color w:val="auto"/>
          <w:sz w:val="32"/>
          <w:szCs w:val="32"/>
          <w:lang w:eastAsia="zh-CN"/>
        </w:rPr>
        <w:t>局</w:t>
      </w:r>
      <w:r>
        <w:rPr>
          <w:rFonts w:hint="eastAsia" w:ascii="仿宋_GB2312" w:hAnsi="仿宋_GB2312" w:eastAsia="仿宋_GB2312" w:cs="仿宋_GB2312"/>
          <w:color w:val="auto"/>
          <w:sz w:val="32"/>
          <w:szCs w:val="32"/>
        </w:rPr>
        <w:t>依托办理服务系统，动态</w:t>
      </w:r>
      <w:r>
        <w:rPr>
          <w:rFonts w:hint="eastAsia" w:ascii="仿宋_GB2312" w:hAnsi="仿宋_GB2312" w:eastAsia="仿宋_GB2312" w:cs="仿宋_GB2312"/>
          <w:color w:val="auto"/>
          <w:sz w:val="32"/>
          <w:szCs w:val="32"/>
          <w:lang w:eastAsia="zh-CN"/>
        </w:rPr>
        <w:t>掌握和发现</w:t>
      </w:r>
      <w:r>
        <w:rPr>
          <w:rFonts w:hint="eastAsia" w:ascii="仿宋_GB2312" w:hAnsi="仿宋_GB2312" w:eastAsia="仿宋_GB2312" w:cs="仿宋_GB2312"/>
          <w:color w:val="auto"/>
          <w:sz w:val="32"/>
          <w:szCs w:val="32"/>
        </w:rPr>
        <w:t>补贴申请</w:t>
      </w:r>
      <w:r>
        <w:rPr>
          <w:rFonts w:hint="eastAsia" w:ascii="仿宋_GB2312" w:hAnsi="仿宋_GB2312" w:eastAsia="仿宋_GB2312" w:cs="仿宋_GB2312"/>
          <w:color w:val="auto"/>
          <w:sz w:val="32"/>
          <w:szCs w:val="32"/>
          <w:lang w:eastAsia="zh-CN"/>
        </w:rPr>
        <w:t>办理过程中的</w:t>
      </w:r>
      <w:r>
        <w:rPr>
          <w:rFonts w:hint="eastAsia" w:ascii="仿宋_GB2312" w:hAnsi="仿宋_GB2312" w:eastAsia="仿宋_GB2312" w:cs="仿宋_GB2312"/>
          <w:color w:val="auto"/>
          <w:sz w:val="32"/>
          <w:szCs w:val="32"/>
        </w:rPr>
        <w:t>具体时限，及时预警和定期通报超时办理行为，督促</w:t>
      </w:r>
      <w:r>
        <w:rPr>
          <w:rFonts w:hint="eastAsia" w:ascii="仿宋_GB2312" w:hAnsi="仿宋_GB2312" w:eastAsia="仿宋_GB2312" w:cs="仿宋_GB2312"/>
          <w:color w:val="auto"/>
          <w:sz w:val="32"/>
          <w:szCs w:val="32"/>
          <w:lang w:eastAsia="zh-CN"/>
        </w:rPr>
        <w:t>镇（街道）</w:t>
      </w:r>
      <w:r>
        <w:rPr>
          <w:rFonts w:hint="eastAsia" w:ascii="仿宋_GB2312" w:hAnsi="仿宋_GB2312" w:eastAsia="仿宋_GB2312" w:cs="仿宋_GB2312"/>
          <w:color w:val="auto"/>
          <w:sz w:val="32"/>
          <w:szCs w:val="32"/>
        </w:rPr>
        <w:t>切实加快补贴申请受理、资料审核</w:t>
      </w:r>
      <w:r>
        <w:rPr>
          <w:rFonts w:hint="eastAsia" w:ascii="仿宋_GB2312" w:hAnsi="仿宋_GB2312" w:eastAsia="仿宋_GB2312" w:cs="仿宋_GB2312"/>
          <w:color w:val="auto"/>
          <w:sz w:val="32"/>
          <w:szCs w:val="32"/>
          <w:lang w:eastAsia="zh-CN"/>
        </w:rPr>
        <w:t>，推动</w:t>
      </w:r>
      <w:r>
        <w:rPr>
          <w:rFonts w:hint="eastAsia" w:ascii="仿宋_GB2312" w:hAnsi="仿宋_GB2312" w:eastAsia="仿宋_GB2312" w:cs="仿宋_GB2312"/>
          <w:color w:val="auto"/>
          <w:sz w:val="32"/>
          <w:szCs w:val="32"/>
        </w:rPr>
        <w:t>机具核验、资金兑付等工作。</w:t>
      </w:r>
      <w:r>
        <w:rPr>
          <w:rFonts w:hint="eastAsia" w:ascii="仿宋_GB2312" w:hAnsi="仿宋_GB2312" w:eastAsia="仿宋_GB2312" w:cs="仿宋_GB2312"/>
          <w:color w:val="auto"/>
          <w:sz w:val="32"/>
          <w:szCs w:val="32"/>
          <w:lang w:val="en-US" w:eastAsia="zh-CN"/>
        </w:rPr>
        <w:t>监测实际补贴额度，探索建立价格监测制度，推动农机补贴产品优胜劣汰。</w:t>
      </w:r>
    </w:p>
    <w:p>
      <w:pPr>
        <w:numPr>
          <w:ilvl w:val="0"/>
          <w:numId w:val="4"/>
        </w:numPr>
        <w:spacing w:line="590" w:lineRule="exact"/>
        <w:ind w:left="0" w:leftChars="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强化政策宣传和信息公开</w:t>
      </w:r>
      <w:r>
        <w:rPr>
          <w:rFonts w:hint="eastAsia" w:ascii="仿宋_GB2312" w:hAnsi="仿宋_GB2312" w:eastAsia="仿宋_GB2312" w:cs="仿宋_GB2312"/>
          <w:color w:val="auto"/>
          <w:sz w:val="32"/>
          <w:szCs w:val="32"/>
        </w:rPr>
        <w:t>。</w:t>
      </w:r>
    </w:p>
    <w:p>
      <w:pPr>
        <w:numPr>
          <w:ilvl w:val="0"/>
          <w:numId w:val="0"/>
        </w:numPr>
        <w:spacing w:line="240" w:lineRule="auto"/>
        <w:ind w:left="0" w:leftChars="0"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t>区</w:t>
      </w:r>
      <w:r>
        <w:rPr>
          <w:rFonts w:hint="eastAsia" w:ascii="仿宋_GB2312" w:hAnsi="仿宋_GB2312" w:eastAsia="仿宋_GB2312" w:cs="仿宋_GB2312"/>
          <w:color w:val="auto"/>
          <w:sz w:val="32"/>
          <w:szCs w:val="32"/>
        </w:rPr>
        <w:t>农业农村</w:t>
      </w:r>
      <w:r>
        <w:rPr>
          <w:rFonts w:hint="eastAsia" w:ascii="仿宋_GB2312" w:hAnsi="仿宋_GB2312" w:eastAsia="仿宋_GB2312" w:cs="仿宋_GB2312"/>
          <w:color w:val="auto"/>
          <w:sz w:val="32"/>
          <w:szCs w:val="32"/>
          <w:lang w:eastAsia="zh-CN"/>
        </w:rPr>
        <w:t>局应</w:t>
      </w:r>
      <w:r>
        <w:rPr>
          <w:rFonts w:hint="eastAsia" w:ascii="仿宋_GB2312" w:hAnsi="仿宋_GB2312" w:eastAsia="仿宋_GB2312" w:cs="仿宋_GB2312"/>
          <w:color w:val="auto"/>
          <w:sz w:val="32"/>
          <w:szCs w:val="32"/>
        </w:rPr>
        <w:t>加大补贴政策宣传力度，综合运用各类媒体和多种宣传方式，通过补贴政策信息上门、指导服务上门等</w:t>
      </w:r>
      <w:r>
        <w:rPr>
          <w:rFonts w:hint="eastAsia" w:ascii="仿宋_GB2312" w:hAnsi="仿宋_GB2312" w:eastAsia="仿宋_GB2312" w:cs="仿宋_GB2312"/>
          <w:color w:val="auto"/>
          <w:sz w:val="32"/>
          <w:szCs w:val="32"/>
          <w:lang w:eastAsia="zh-CN"/>
        </w:rPr>
        <w:t>方式</w:t>
      </w:r>
      <w:r>
        <w:rPr>
          <w:rFonts w:hint="eastAsia" w:ascii="仿宋_GB2312" w:hAnsi="仿宋_GB2312" w:eastAsia="仿宋_GB2312" w:cs="仿宋_GB2312"/>
          <w:color w:val="auto"/>
          <w:sz w:val="32"/>
          <w:szCs w:val="32"/>
        </w:rPr>
        <w:t>，全方位开展宣传解读，着力提升政策知晓度和实施透明度，要及时主动回应购机者关注的重点事项，正确引导舆论，稳定购机者预期，切实保障广大农民群众和农机企业的知情权、监督权。健全完善农机购置与应用补贴信息公开专栏，按年度公告近三年县域内补贴受益信息，公开违规查处结果等信息，主动接受社会监督。</w:t>
      </w:r>
    </w:p>
    <w:p>
      <w:pPr>
        <w:numPr>
          <w:ilvl w:val="0"/>
          <w:numId w:val="4"/>
        </w:numPr>
        <w:spacing w:line="590" w:lineRule="exact"/>
        <w:ind w:left="0" w:leftChars="0"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强化监督管理和违规查处。</w:t>
      </w:r>
    </w:p>
    <w:p>
      <w:pPr>
        <w:numPr>
          <w:ilvl w:val="0"/>
          <w:numId w:val="0"/>
        </w:numPr>
        <w:spacing w:line="590" w:lineRule="exact"/>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区农业农村局要</w:t>
      </w:r>
      <w:r>
        <w:rPr>
          <w:rFonts w:hint="eastAsia" w:ascii="仿宋_GB2312" w:hAnsi="仿宋_GB2312" w:eastAsia="仿宋_GB2312" w:cs="仿宋_GB2312"/>
          <w:color w:val="auto"/>
          <w:sz w:val="32"/>
          <w:szCs w:val="32"/>
        </w:rPr>
        <w:t>加强补贴政策宣传解读，开展业务培训和廉政警示教育，补贴工作人员业务素质和风险防控能力意识。要认真执行《农业农村部办公厅、财政部办公厅关于进一步加强农机购置补贴政策监管强化纪律约束的通知》（农办机〔2019〕6号）、《江苏省农业机械购置补贴产品经营违规行为处理规定》（苏农规〔2019〕9号）</w:t>
      </w:r>
      <w:r>
        <w:rPr>
          <w:rFonts w:hint="eastAsia" w:ascii="仿宋_GB2312" w:hAnsi="仿宋_GB2312" w:eastAsia="仿宋_GB2312" w:cs="仿宋_GB2312"/>
          <w:color w:val="auto"/>
          <w:sz w:val="32"/>
          <w:szCs w:val="32"/>
          <w:lang w:val="en-US" w:eastAsia="zh-CN"/>
        </w:rPr>
        <w:t>和</w:t>
      </w:r>
      <w:r>
        <w:rPr>
          <w:rFonts w:hint="eastAsia" w:ascii="仿宋_GB2312" w:hAnsi="仿宋_GB2312" w:eastAsia="仿宋_GB2312" w:cs="仿宋_GB2312"/>
          <w:color w:val="auto"/>
          <w:sz w:val="32"/>
          <w:szCs w:val="32"/>
        </w:rPr>
        <w:t>《江苏省农机购置补贴异常情形报告制度》（苏农机〔2021〕2号）等要求，严格落实属地管理责任，加强风险防控和异常情形主动报告，更加严格实施信用管理和农机产销企业承诺制，有力维护政策实施良好秩序。</w:t>
      </w:r>
    </w:p>
    <w:p>
      <w:pPr>
        <w:pStyle w:val="2"/>
        <w:rPr>
          <w:rFonts w:hint="eastAsia"/>
        </w:rPr>
      </w:pPr>
    </w:p>
    <w:p>
      <w:pPr>
        <w:adjustRightInd w:val="0"/>
        <w:snapToGrid w:val="0"/>
        <w:spacing w:line="560" w:lineRule="exact"/>
        <w:ind w:firstLine="60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0"/>
          <w:szCs w:val="30"/>
        </w:rPr>
        <w:t>附件</w:t>
      </w:r>
      <w:r>
        <w:rPr>
          <w:rFonts w:hint="eastAsia" w:ascii="仿宋_GB2312" w:hAnsi="仿宋_GB2312" w:eastAsia="仿宋_GB2312" w:cs="仿宋_GB2312"/>
          <w:color w:val="auto"/>
          <w:sz w:val="30"/>
          <w:szCs w:val="30"/>
          <w:lang w:val="en-US" w:eastAsia="zh-CN"/>
        </w:rPr>
        <w:t>1、</w:t>
      </w:r>
      <w:r>
        <w:rPr>
          <w:rFonts w:hint="eastAsia" w:ascii="仿宋_GB2312" w:hAnsi="仿宋_GB2312" w:eastAsia="仿宋_GB2312" w:cs="仿宋_GB2312"/>
          <w:color w:val="auto"/>
          <w:sz w:val="32"/>
          <w:szCs w:val="32"/>
        </w:rPr>
        <w:t>2024-2026年江苏省农机购置与应用补贴机具种类范围</w:t>
      </w:r>
    </w:p>
    <w:p>
      <w:pPr>
        <w:adjustRightInd w:val="0"/>
        <w:snapToGrid w:val="0"/>
        <w:spacing w:line="560" w:lineRule="exact"/>
        <w:ind w:firstLine="1200" w:firstLineChars="400"/>
        <w:rPr>
          <w:rFonts w:hint="default" w:ascii="仿宋_GB2312" w:hAnsi="仿宋_GB2312" w:eastAsia="仿宋_GB2312" w:cs="仿宋_GB2312"/>
          <w:color w:val="auto"/>
          <w:sz w:val="32"/>
          <w:szCs w:val="32"/>
        </w:rPr>
      </w:pPr>
      <w:r>
        <w:rPr>
          <w:rFonts w:hint="eastAsia" w:ascii="仿宋_GB2312" w:hAnsi="仿宋_GB2312" w:eastAsia="仿宋_GB2312" w:cs="仿宋_GB2312"/>
          <w:color w:val="auto"/>
          <w:sz w:val="30"/>
          <w:szCs w:val="30"/>
          <w:lang w:val="en-US" w:eastAsia="zh-CN"/>
        </w:rPr>
        <w:t>2、</w:t>
      </w:r>
      <w:r>
        <w:rPr>
          <w:rFonts w:hint="default" w:ascii="仿宋_GB2312" w:hAnsi="仿宋_GB2312" w:eastAsia="仿宋_GB2312" w:cs="仿宋_GB2312"/>
          <w:color w:val="auto"/>
          <w:sz w:val="32"/>
          <w:szCs w:val="32"/>
        </w:rPr>
        <w:t>江苏省农机购置与应用补贴机具安装确认表</w:t>
      </w:r>
    </w:p>
    <w:p>
      <w:pPr>
        <w:pStyle w:val="2"/>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（本页无正文）</w:t>
      </w:r>
    </w:p>
    <w:p>
      <w:pPr>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p>
      <w:pPr>
        <w:rPr>
          <w:rFonts w:hint="eastAsia" w:ascii="仿宋_GB2312" w:hAnsi="仿宋_GB2312" w:eastAsia="仿宋_GB2312" w:cs="仿宋_GB2312"/>
          <w:color w:val="auto"/>
          <w:sz w:val="32"/>
          <w:szCs w:val="32"/>
        </w:rPr>
      </w:pPr>
    </w:p>
    <w:p>
      <w:pPr>
        <w:pStyle w:val="2"/>
        <w:rPr>
          <w:rFonts w:hint="eastAsia" w:ascii="仿宋_GB2312" w:hAnsi="仿宋_GB2312" w:eastAsia="仿宋_GB2312" w:cs="仿宋_GB2312"/>
          <w:color w:val="auto"/>
          <w:sz w:val="32"/>
          <w:szCs w:val="32"/>
        </w:rPr>
      </w:pPr>
    </w:p>
    <w:tbl>
      <w:tblPr>
        <w:tblStyle w:val="13"/>
        <w:tblpPr w:leftFromText="180" w:rightFromText="180" w:vertAnchor="text" w:horzAnchor="page" w:tblpX="1503" w:tblpY="369"/>
        <w:tblOverlap w:val="never"/>
        <w:tblW w:w="9243" w:type="dxa"/>
        <w:tblInd w:w="0" w:type="dxa"/>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243"/>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9243" w:type="dxa"/>
            <w:tcBorders>
              <w:top w:val="single" w:color="auto" w:sz="4" w:space="0"/>
            </w:tcBorders>
            <w:noWrap/>
            <w:vAlign w:val="center"/>
          </w:tcPr>
          <w:p>
            <w:pPr>
              <w:spacing w:beforeLines="20" w:afterLines="20" w:line="400" w:lineRule="exact"/>
              <w:ind w:right="53" w:rightChars="25"/>
              <w:jc w:val="left"/>
              <w:rPr>
                <w:rFonts w:eastAsia="仿宋_GB2312"/>
                <w:color w:val="auto"/>
                <w:spacing w:val="-10"/>
                <w:sz w:val="28"/>
                <w:szCs w:val="28"/>
              </w:rPr>
            </w:pPr>
            <w:r>
              <w:rPr>
                <w:rFonts w:eastAsia="仿宋_GB2312"/>
                <w:color w:val="auto"/>
                <w:spacing w:val="-10"/>
                <w:sz w:val="28"/>
                <w:szCs w:val="28"/>
              </w:rPr>
              <w:t xml:space="preserve">苏州市吴中区农业农村局办公室    </w:t>
            </w:r>
            <w:r>
              <w:rPr>
                <w:rFonts w:hint="eastAsia" w:eastAsia="仿宋_GB2312"/>
                <w:color w:val="auto"/>
                <w:spacing w:val="-10"/>
                <w:sz w:val="28"/>
                <w:szCs w:val="28"/>
                <w:lang w:val="en-US" w:eastAsia="zh-CN"/>
              </w:rPr>
              <w:t xml:space="preserve"> </w:t>
            </w:r>
            <w:r>
              <w:rPr>
                <w:rFonts w:eastAsia="仿宋_GB2312"/>
                <w:color w:val="auto"/>
                <w:spacing w:val="-10"/>
                <w:sz w:val="28"/>
                <w:szCs w:val="28"/>
              </w:rPr>
              <w:t xml:space="preserve">   </w:t>
            </w:r>
            <w:r>
              <w:rPr>
                <w:rFonts w:hint="eastAsia" w:eastAsia="仿宋_GB2312"/>
                <w:color w:val="auto"/>
                <w:spacing w:val="-10"/>
                <w:sz w:val="28"/>
                <w:szCs w:val="28"/>
                <w:lang w:val="en-US" w:eastAsia="zh-CN"/>
              </w:rPr>
              <w:t xml:space="preserve"> </w:t>
            </w:r>
            <w:r>
              <w:rPr>
                <w:rFonts w:eastAsia="仿宋_GB2312"/>
                <w:color w:val="auto"/>
                <w:spacing w:val="-10"/>
                <w:sz w:val="28"/>
                <w:szCs w:val="28"/>
              </w:rPr>
              <w:t xml:space="preserve">   </w:t>
            </w:r>
            <w:r>
              <w:rPr>
                <w:rFonts w:hint="eastAsia" w:eastAsia="仿宋_GB2312"/>
                <w:color w:val="auto"/>
                <w:spacing w:val="-10"/>
                <w:sz w:val="28"/>
                <w:szCs w:val="28"/>
                <w:lang w:val="en-US" w:eastAsia="zh-CN"/>
              </w:rPr>
              <w:t xml:space="preserve">          </w:t>
            </w:r>
            <w:r>
              <w:rPr>
                <w:rFonts w:eastAsia="仿宋_GB2312"/>
                <w:color w:val="auto"/>
                <w:spacing w:val="-10"/>
                <w:sz w:val="28"/>
                <w:szCs w:val="28"/>
              </w:rPr>
              <w:t xml:space="preserve"> 202</w:t>
            </w:r>
            <w:r>
              <w:rPr>
                <w:rFonts w:hint="eastAsia" w:eastAsia="仿宋_GB2312"/>
                <w:color w:val="auto"/>
                <w:spacing w:val="-10"/>
                <w:sz w:val="28"/>
                <w:szCs w:val="28"/>
              </w:rPr>
              <w:t>4</w:t>
            </w:r>
            <w:r>
              <w:rPr>
                <w:rFonts w:eastAsia="仿宋_GB2312"/>
                <w:color w:val="auto"/>
                <w:spacing w:val="-10"/>
                <w:sz w:val="28"/>
                <w:szCs w:val="28"/>
              </w:rPr>
              <w:t>年</w:t>
            </w:r>
            <w:r>
              <w:rPr>
                <w:rFonts w:hint="eastAsia" w:eastAsia="仿宋_GB2312"/>
                <w:color w:val="auto"/>
                <w:spacing w:val="-10"/>
                <w:sz w:val="28"/>
                <w:szCs w:val="28"/>
              </w:rPr>
              <w:t>12</w:t>
            </w:r>
            <w:r>
              <w:rPr>
                <w:rFonts w:eastAsia="仿宋_GB2312"/>
                <w:color w:val="auto"/>
                <w:spacing w:val="-10"/>
                <w:sz w:val="28"/>
                <w:szCs w:val="28"/>
              </w:rPr>
              <w:t>月</w:t>
            </w:r>
            <w:r>
              <w:rPr>
                <w:rFonts w:hint="eastAsia" w:eastAsia="仿宋_GB2312"/>
                <w:color w:val="auto"/>
                <w:spacing w:val="-10"/>
                <w:sz w:val="28"/>
                <w:szCs w:val="28"/>
                <w:lang w:val="en-US" w:eastAsia="zh-CN"/>
              </w:rPr>
              <w:t>20</w:t>
            </w:r>
            <w:r>
              <w:rPr>
                <w:rFonts w:eastAsia="仿宋_GB2312"/>
                <w:color w:val="auto"/>
                <w:spacing w:val="-10"/>
                <w:sz w:val="28"/>
                <w:szCs w:val="28"/>
              </w:rPr>
              <w:t>日印发</w:t>
            </w:r>
          </w:p>
        </w:tc>
      </w:tr>
    </w:tbl>
    <w:p>
      <w:pPr>
        <w:pStyle w:val="2"/>
        <w:rPr>
          <w:rFonts w:hint="eastAsia"/>
          <w:color w:val="auto"/>
        </w:rPr>
      </w:pPr>
    </w:p>
    <w:p>
      <w:pPr>
        <w:adjustRightInd w:val="0"/>
        <w:snapToGrid w:val="0"/>
        <w:spacing w:line="560" w:lineRule="exac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附件</w:t>
      </w:r>
      <w:r>
        <w:rPr>
          <w:rFonts w:hint="eastAsia" w:ascii="仿宋_GB2312" w:hAnsi="仿宋_GB2312" w:eastAsia="仿宋_GB2312" w:cs="仿宋_GB2312"/>
          <w:color w:val="auto"/>
          <w:sz w:val="30"/>
          <w:szCs w:val="30"/>
          <w:lang w:val="en-US" w:eastAsia="zh-CN"/>
        </w:rPr>
        <w:t>1：</w:t>
      </w:r>
    </w:p>
    <w:p>
      <w:pPr>
        <w:spacing w:line="560" w:lineRule="exact"/>
        <w:rPr>
          <w:rFonts w:eastAsia="方正黑体_GBK" w:cs="Times New Roman"/>
          <w:color w:val="auto"/>
          <w:szCs w:val="32"/>
          <w:highlight w:val="none"/>
        </w:rPr>
      </w:pPr>
    </w:p>
    <w:p>
      <w:pPr>
        <w:spacing w:line="560" w:lineRule="exact"/>
        <w:jc w:val="center"/>
        <w:rPr>
          <w:rFonts w:eastAsia="方正小标宋_GBK" w:cs="Times New Roman"/>
          <w:bCs/>
          <w:color w:val="auto"/>
          <w:sz w:val="44"/>
          <w:szCs w:val="44"/>
          <w:highlight w:val="none"/>
        </w:rPr>
      </w:pPr>
      <w:r>
        <w:rPr>
          <w:rFonts w:eastAsia="华文中宋" w:cs="Times New Roman"/>
          <w:bCs/>
          <w:color w:val="auto"/>
          <w:sz w:val="44"/>
          <w:szCs w:val="44"/>
          <w:highlight w:val="none"/>
        </w:rPr>
        <w:t>2024-2026</w:t>
      </w:r>
      <w:r>
        <w:rPr>
          <w:rFonts w:eastAsia="方正小标宋_GBK" w:cs="Times New Roman"/>
          <w:bCs/>
          <w:color w:val="auto"/>
          <w:sz w:val="44"/>
          <w:szCs w:val="44"/>
          <w:highlight w:val="none"/>
        </w:rPr>
        <w:t>年江苏省农机购置</w:t>
      </w:r>
    </w:p>
    <w:p>
      <w:pPr>
        <w:spacing w:line="560" w:lineRule="exact"/>
        <w:jc w:val="center"/>
        <w:rPr>
          <w:rFonts w:eastAsia="方正小标宋_GBK" w:cs="Times New Roman"/>
          <w:bCs/>
          <w:color w:val="auto"/>
          <w:sz w:val="44"/>
          <w:szCs w:val="44"/>
          <w:highlight w:val="none"/>
        </w:rPr>
      </w:pPr>
      <w:r>
        <w:rPr>
          <w:rFonts w:eastAsia="方正小标宋_GBK" w:cs="Times New Roman"/>
          <w:bCs/>
          <w:color w:val="auto"/>
          <w:sz w:val="44"/>
          <w:szCs w:val="44"/>
          <w:highlight w:val="none"/>
        </w:rPr>
        <w:t>与应用补贴机具种类范围</w:t>
      </w:r>
    </w:p>
    <w:p>
      <w:pPr>
        <w:spacing w:line="560" w:lineRule="exact"/>
        <w:jc w:val="center"/>
        <w:rPr>
          <w:rFonts w:eastAsia="方正楷体_GBK" w:cs="Times New Roman"/>
          <w:color w:val="auto"/>
          <w:szCs w:val="32"/>
          <w:highlight w:val="none"/>
        </w:rPr>
      </w:pPr>
    </w:p>
    <w:tbl>
      <w:tblPr>
        <w:tblStyle w:val="13"/>
        <w:tblW w:w="89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1"/>
        <w:gridCol w:w="1560"/>
        <w:gridCol w:w="3385"/>
        <w:gridCol w:w="27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1231" w:type="dxa"/>
            <w:noWrap w:val="0"/>
            <w:vAlign w:val="center"/>
          </w:tcPr>
          <w:p>
            <w:pPr>
              <w:adjustRightInd w:val="0"/>
              <w:snapToGrid w:val="0"/>
              <w:spacing w:line="320" w:lineRule="exact"/>
              <w:jc w:val="center"/>
              <w:rPr>
                <w:rFonts w:eastAsia="方正黑体_GBK" w:cs="Times New Roman"/>
                <w:color w:val="auto"/>
                <w:sz w:val="24"/>
                <w:highlight w:val="none"/>
              </w:rPr>
            </w:pPr>
            <w:r>
              <w:rPr>
                <w:rFonts w:eastAsia="方正黑体_GBK" w:cs="Times New Roman"/>
                <w:color w:val="auto"/>
                <w:sz w:val="24"/>
                <w:highlight w:val="none"/>
              </w:rPr>
              <w:t>大类</w:t>
            </w:r>
          </w:p>
        </w:tc>
        <w:tc>
          <w:tcPr>
            <w:tcW w:w="1560" w:type="dxa"/>
            <w:noWrap w:val="0"/>
            <w:vAlign w:val="center"/>
          </w:tcPr>
          <w:p>
            <w:pPr>
              <w:adjustRightInd w:val="0"/>
              <w:snapToGrid w:val="0"/>
              <w:spacing w:line="320" w:lineRule="exact"/>
              <w:jc w:val="center"/>
              <w:rPr>
                <w:rFonts w:eastAsia="方正黑体_GBK" w:cs="Times New Roman"/>
                <w:color w:val="auto"/>
                <w:sz w:val="24"/>
                <w:highlight w:val="none"/>
              </w:rPr>
            </w:pPr>
            <w:r>
              <w:rPr>
                <w:rFonts w:eastAsia="方正黑体_GBK" w:cs="Times New Roman"/>
                <w:color w:val="auto"/>
                <w:sz w:val="24"/>
                <w:highlight w:val="none"/>
              </w:rPr>
              <w:t>小类</w:t>
            </w:r>
          </w:p>
        </w:tc>
        <w:tc>
          <w:tcPr>
            <w:tcW w:w="3385" w:type="dxa"/>
            <w:noWrap w:val="0"/>
            <w:vAlign w:val="center"/>
          </w:tcPr>
          <w:p>
            <w:pPr>
              <w:adjustRightInd w:val="0"/>
              <w:snapToGrid w:val="0"/>
              <w:spacing w:line="320" w:lineRule="exact"/>
              <w:jc w:val="center"/>
              <w:rPr>
                <w:rFonts w:eastAsia="方正黑体_GBK" w:cs="Times New Roman"/>
                <w:color w:val="auto"/>
                <w:sz w:val="24"/>
                <w:highlight w:val="none"/>
              </w:rPr>
            </w:pPr>
            <w:r>
              <w:rPr>
                <w:rFonts w:eastAsia="方正黑体_GBK" w:cs="Times New Roman"/>
                <w:color w:val="auto"/>
                <w:sz w:val="24"/>
                <w:highlight w:val="none"/>
              </w:rPr>
              <w:t>中央财政补贴品目</w:t>
            </w:r>
          </w:p>
          <w:p>
            <w:pPr>
              <w:adjustRightInd w:val="0"/>
              <w:snapToGrid w:val="0"/>
              <w:spacing w:line="320" w:lineRule="exact"/>
              <w:jc w:val="center"/>
              <w:rPr>
                <w:rFonts w:eastAsia="方正黑体_GBK" w:cs="Times New Roman"/>
                <w:color w:val="auto"/>
                <w:sz w:val="24"/>
                <w:highlight w:val="none"/>
              </w:rPr>
            </w:pPr>
            <w:r>
              <w:rPr>
                <w:rFonts w:eastAsia="方正黑体_GBK" w:cs="Times New Roman"/>
                <w:color w:val="auto"/>
                <w:sz w:val="24"/>
                <w:highlight w:val="none"/>
              </w:rPr>
              <w:t>（</w:t>
            </w:r>
            <w:r>
              <w:rPr>
                <w:rFonts w:hint="eastAsia" w:eastAsia="方正黑体_GBK" w:cs="Times New Roman"/>
                <w:color w:val="auto"/>
                <w:sz w:val="24"/>
                <w:highlight w:val="none"/>
                <w:lang w:val="en-US" w:eastAsia="zh-CN"/>
              </w:rPr>
              <w:t>22</w:t>
            </w:r>
            <w:r>
              <w:rPr>
                <w:rFonts w:eastAsia="方正黑体_GBK" w:cs="Times New Roman"/>
                <w:color w:val="auto"/>
                <w:sz w:val="24"/>
                <w:highlight w:val="none"/>
              </w:rPr>
              <w:t>大类</w:t>
            </w:r>
            <w:r>
              <w:rPr>
                <w:rFonts w:hint="eastAsia" w:eastAsia="方正黑体_GBK" w:cs="Times New Roman"/>
                <w:color w:val="auto"/>
                <w:sz w:val="24"/>
                <w:highlight w:val="none"/>
                <w:lang w:val="en-US" w:eastAsia="zh-CN"/>
              </w:rPr>
              <w:t>47</w:t>
            </w:r>
            <w:r>
              <w:rPr>
                <w:rFonts w:eastAsia="方正黑体_GBK" w:cs="Times New Roman"/>
                <w:color w:val="auto"/>
                <w:sz w:val="24"/>
                <w:highlight w:val="none"/>
              </w:rPr>
              <w:t>个小类</w:t>
            </w:r>
            <w:r>
              <w:rPr>
                <w:rFonts w:hint="eastAsia" w:eastAsia="方正黑体_GBK" w:cs="Times New Roman"/>
                <w:color w:val="auto"/>
                <w:sz w:val="24"/>
                <w:highlight w:val="none"/>
                <w:lang w:val="en-US" w:eastAsia="zh-CN"/>
              </w:rPr>
              <w:t>120</w:t>
            </w:r>
            <w:r>
              <w:rPr>
                <w:rFonts w:eastAsia="方正黑体_GBK" w:cs="Times New Roman"/>
                <w:color w:val="auto"/>
                <w:sz w:val="24"/>
                <w:highlight w:val="none"/>
              </w:rPr>
              <w:t>个）</w:t>
            </w:r>
          </w:p>
        </w:tc>
        <w:tc>
          <w:tcPr>
            <w:tcW w:w="2748" w:type="dxa"/>
            <w:noWrap w:val="0"/>
            <w:vAlign w:val="center"/>
          </w:tcPr>
          <w:p>
            <w:pPr>
              <w:adjustRightInd w:val="0"/>
              <w:snapToGrid w:val="0"/>
              <w:spacing w:line="320" w:lineRule="exact"/>
              <w:jc w:val="center"/>
              <w:rPr>
                <w:rFonts w:eastAsia="方正黑体_GBK" w:cs="Times New Roman"/>
                <w:color w:val="auto"/>
                <w:sz w:val="24"/>
                <w:highlight w:val="none"/>
              </w:rPr>
            </w:pPr>
            <w:r>
              <w:rPr>
                <w:rFonts w:eastAsia="方正黑体_GBK" w:cs="Times New Roman"/>
                <w:color w:val="auto"/>
                <w:sz w:val="24"/>
                <w:highlight w:val="none"/>
              </w:rPr>
              <w:t>省级财政补贴品目</w:t>
            </w:r>
          </w:p>
          <w:p>
            <w:pPr>
              <w:adjustRightInd w:val="0"/>
              <w:snapToGrid w:val="0"/>
              <w:spacing w:line="320" w:lineRule="exact"/>
              <w:jc w:val="center"/>
              <w:rPr>
                <w:rFonts w:eastAsia="方正黑体_GBK" w:cs="Times New Roman"/>
                <w:color w:val="auto"/>
                <w:sz w:val="24"/>
                <w:highlight w:val="none"/>
              </w:rPr>
            </w:pPr>
            <w:r>
              <w:rPr>
                <w:rFonts w:eastAsia="方正黑体_GBK" w:cs="Times New Roman"/>
                <w:color w:val="auto"/>
                <w:sz w:val="24"/>
                <w:highlight w:val="none"/>
              </w:rPr>
              <w:t>（</w:t>
            </w:r>
            <w:r>
              <w:rPr>
                <w:rFonts w:hint="eastAsia" w:eastAsia="方正黑体_GBK" w:cs="Times New Roman"/>
                <w:color w:val="auto"/>
                <w:sz w:val="24"/>
                <w:highlight w:val="none"/>
                <w:lang w:val="en-US" w:eastAsia="zh-CN"/>
              </w:rPr>
              <w:t>3</w:t>
            </w:r>
            <w:r>
              <w:rPr>
                <w:rFonts w:eastAsia="方正黑体_GBK" w:cs="Times New Roman"/>
                <w:color w:val="auto"/>
                <w:sz w:val="24"/>
                <w:highlight w:val="none"/>
              </w:rPr>
              <w:t>大类</w:t>
            </w:r>
            <w:r>
              <w:rPr>
                <w:rFonts w:hint="eastAsia" w:eastAsia="方正黑体_GBK" w:cs="Times New Roman"/>
                <w:color w:val="auto"/>
                <w:sz w:val="24"/>
                <w:highlight w:val="none"/>
                <w:lang w:val="en-US" w:eastAsia="zh-CN"/>
              </w:rPr>
              <w:t>3</w:t>
            </w:r>
            <w:r>
              <w:rPr>
                <w:rFonts w:eastAsia="方正黑体_GBK" w:cs="Times New Roman"/>
                <w:color w:val="auto"/>
                <w:sz w:val="24"/>
                <w:highlight w:val="none"/>
              </w:rPr>
              <w:t>个小类</w:t>
            </w:r>
            <w:r>
              <w:rPr>
                <w:rFonts w:hint="eastAsia" w:eastAsia="方正黑体_GBK" w:cs="Times New Roman"/>
                <w:color w:val="auto"/>
                <w:sz w:val="24"/>
                <w:highlight w:val="none"/>
                <w:lang w:val="en-US" w:eastAsia="zh-CN"/>
              </w:rPr>
              <w:t>3</w:t>
            </w:r>
            <w:r>
              <w:rPr>
                <w:rFonts w:eastAsia="方正黑体_GBK" w:cs="Times New Roman"/>
                <w:color w:val="auto"/>
                <w:sz w:val="24"/>
                <w:highlight w:val="none"/>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1.耕整地机械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1.1耕地机械</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1.1.1犁</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1.1.2旋耕机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1.1.5深松机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1.1.6开沟机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1.1.7挖坑（成穴）机</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1.耕整地机械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1.2整地机械</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1.2.1耙（限圆盘耙、驱动耙）</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1.2.2埋茬起浆机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1.2.3起垄机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1.2.4筑埂机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1.2.6铺膜机</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1.耕整地机械</w:t>
            </w:r>
          </w:p>
        </w:tc>
        <w:tc>
          <w:tcPr>
            <w:tcW w:w="1560" w:type="dxa"/>
            <w:noWrap w:val="0"/>
            <w:vAlign w:val="center"/>
          </w:tcPr>
          <w:p>
            <w:pPr>
              <w:adjustRightInd w:val="0"/>
              <w:snapToGrid w:val="0"/>
              <w:spacing w:line="280" w:lineRule="exact"/>
              <w:rPr>
                <w:rFonts w:cs="Times New Roman"/>
                <w:color w:val="auto"/>
                <w:sz w:val="24"/>
                <w:highlight w:val="none"/>
              </w:rPr>
            </w:pPr>
            <w:r>
              <w:rPr>
                <w:rFonts w:cs="Times New Roman"/>
                <w:color w:val="auto"/>
                <w:sz w:val="24"/>
                <w:highlight w:val="none"/>
              </w:rPr>
              <w:t>1.3耕整地联合作业机械（可含施肥功能）</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1.3.1联合整地机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1.3.2深松整地联合作业机</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2.种植施肥机械</w:t>
            </w:r>
          </w:p>
        </w:tc>
        <w:tc>
          <w:tcPr>
            <w:tcW w:w="1560" w:type="dxa"/>
            <w:noWrap w:val="0"/>
            <w:vAlign w:val="center"/>
          </w:tcPr>
          <w:p>
            <w:pPr>
              <w:adjustRightInd w:val="0"/>
              <w:snapToGrid w:val="0"/>
              <w:spacing w:line="280" w:lineRule="exact"/>
              <w:rPr>
                <w:rFonts w:cs="Times New Roman"/>
                <w:color w:val="auto"/>
                <w:sz w:val="24"/>
                <w:highlight w:val="none"/>
              </w:rPr>
            </w:pPr>
            <w:r>
              <w:rPr>
                <w:rFonts w:cs="Times New Roman"/>
                <w:color w:val="auto"/>
                <w:sz w:val="24"/>
                <w:highlight w:val="none"/>
              </w:rPr>
              <w:t>2.1种子播前处理和育苗机械设备</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2.1.1种子催芽机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2.1.2苗床用土粉碎机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2.1.3育秧（苗）播种设备</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2.种植施肥机械</w:t>
            </w:r>
          </w:p>
        </w:tc>
        <w:tc>
          <w:tcPr>
            <w:tcW w:w="1560" w:type="dxa"/>
            <w:noWrap w:val="0"/>
            <w:vAlign w:val="center"/>
          </w:tcPr>
          <w:p>
            <w:pPr>
              <w:adjustRightInd w:val="0"/>
              <w:snapToGrid w:val="0"/>
              <w:spacing w:line="280" w:lineRule="exact"/>
              <w:rPr>
                <w:rFonts w:cs="Times New Roman"/>
                <w:color w:val="auto"/>
                <w:sz w:val="24"/>
                <w:highlight w:val="none"/>
              </w:rPr>
            </w:pPr>
            <w:r>
              <w:rPr>
                <w:rFonts w:cs="Times New Roman"/>
                <w:color w:val="auto"/>
                <w:sz w:val="24"/>
                <w:highlight w:val="none"/>
              </w:rPr>
              <w:t>2.2播种机械（可含施肥功能）</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2.2.1条播机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2.2.2穴播机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2.2.3单粒（精密）播种机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2.2.4根（块）茎种子播种机</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2.种植施肥机械</w:t>
            </w:r>
          </w:p>
        </w:tc>
        <w:tc>
          <w:tcPr>
            <w:tcW w:w="1560" w:type="dxa"/>
            <w:noWrap w:val="0"/>
            <w:vAlign w:val="center"/>
          </w:tcPr>
          <w:p>
            <w:pPr>
              <w:adjustRightInd w:val="0"/>
              <w:snapToGrid w:val="0"/>
              <w:spacing w:line="280" w:lineRule="exact"/>
              <w:rPr>
                <w:rFonts w:cs="Times New Roman"/>
                <w:color w:val="auto"/>
                <w:sz w:val="24"/>
                <w:highlight w:val="none"/>
              </w:rPr>
            </w:pPr>
            <w:r>
              <w:rPr>
                <w:rFonts w:cs="Times New Roman"/>
                <w:color w:val="auto"/>
                <w:sz w:val="24"/>
                <w:highlight w:val="none"/>
              </w:rPr>
              <w:t>2.3耕整地播种作业机械（可含施肥功能）</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2.3.1旋耕播种机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2.3.3秸秆还田整地播种机</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2.种植施肥机械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2.4栽植机械</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2.4.1插秧机</w:t>
            </w:r>
          </w:p>
          <w:p>
            <w:pPr>
              <w:adjustRightInd w:val="0"/>
              <w:snapToGrid w:val="0"/>
              <w:spacing w:line="320" w:lineRule="exact"/>
              <w:jc w:val="left"/>
              <w:rPr>
                <w:rFonts w:hint="eastAsia" w:eastAsia="方正仿宋_GBK" w:cs="Times New Roman"/>
                <w:color w:val="auto"/>
                <w:sz w:val="24"/>
                <w:highlight w:val="none"/>
                <w:lang w:val="en-US" w:eastAsia="zh-CN"/>
              </w:rPr>
            </w:pPr>
            <w:r>
              <w:rPr>
                <w:rFonts w:hint="eastAsia" w:cs="Times New Roman"/>
                <w:color w:val="auto"/>
                <w:sz w:val="24"/>
                <w:highlight w:val="none"/>
                <w:lang w:val="en-US" w:eastAsia="zh-CN"/>
              </w:rPr>
              <w:t>2.4.2抛秧机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2.4.3移栽机</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2.种植施肥机械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2.5施肥机械</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2.5.1施肥机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2.5.2撒（抛）肥机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2.5.3侧深施肥装置</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3.田间管理机械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3.1中耕机械</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3.1.2田园管理机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3.1.3割草机（含果园无人割草机）</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3.田间管理机械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3.2植保机械</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3.2.1喷雾机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3.2.2农用（植保）无人驾驶航空器（可含撒播</w:t>
            </w:r>
            <w:r>
              <w:rPr>
                <w:rFonts w:hint="eastAsia" w:cs="Times New Roman"/>
                <w:color w:val="auto"/>
                <w:sz w:val="24"/>
                <w:highlight w:val="none"/>
              </w:rPr>
              <w:t>等</w:t>
            </w:r>
            <w:r>
              <w:rPr>
                <w:rFonts w:cs="Times New Roman"/>
                <w:color w:val="auto"/>
                <w:sz w:val="24"/>
                <w:highlight w:val="none"/>
              </w:rPr>
              <w:t>功能）</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3.田间管理机械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3.3修剪防护管理机械</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3.3.1修剪机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3.3.2枝条切碎机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3.3.5农用升降作业平台</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4.灌溉机械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4.1喷灌机械</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4.1.1喷灌机</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4.灌溉机械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4.2微灌设备</w:t>
            </w:r>
          </w:p>
        </w:tc>
        <w:tc>
          <w:tcPr>
            <w:tcW w:w="3385"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4.2.1微喷灌设备</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5.收获机械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5.1粮食作物收获机械</w:t>
            </w:r>
          </w:p>
        </w:tc>
        <w:tc>
          <w:tcPr>
            <w:tcW w:w="3385"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5.1.4谷物联合收割机</w:t>
            </w:r>
          </w:p>
          <w:p>
            <w:pPr>
              <w:adjustRightInd w:val="0"/>
              <w:snapToGrid w:val="0"/>
              <w:spacing w:line="320" w:lineRule="exact"/>
              <w:rPr>
                <w:rFonts w:cs="Times New Roman"/>
                <w:color w:val="auto"/>
                <w:sz w:val="24"/>
                <w:highlight w:val="none"/>
              </w:rPr>
            </w:pPr>
            <w:r>
              <w:rPr>
                <w:rFonts w:cs="Times New Roman"/>
                <w:color w:val="auto"/>
                <w:sz w:val="24"/>
                <w:highlight w:val="none"/>
              </w:rPr>
              <w:t>5.1.5玉米收获机</w:t>
            </w:r>
          </w:p>
          <w:p>
            <w:pPr>
              <w:adjustRightInd w:val="0"/>
              <w:snapToGrid w:val="0"/>
              <w:spacing w:line="320" w:lineRule="exact"/>
              <w:rPr>
                <w:rFonts w:cs="Times New Roman"/>
                <w:color w:val="auto"/>
                <w:sz w:val="24"/>
                <w:highlight w:val="none"/>
              </w:rPr>
            </w:pPr>
            <w:r>
              <w:rPr>
                <w:rFonts w:cs="Times New Roman"/>
                <w:color w:val="auto"/>
                <w:sz w:val="24"/>
                <w:highlight w:val="none"/>
              </w:rPr>
              <w:t>5.1.6薯类收获机</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5.收获机械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5.3油料作物收获机械</w:t>
            </w:r>
          </w:p>
        </w:tc>
        <w:tc>
          <w:tcPr>
            <w:tcW w:w="3385"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5.3.1大豆收获机</w:t>
            </w:r>
          </w:p>
          <w:p>
            <w:pPr>
              <w:adjustRightInd w:val="0"/>
              <w:snapToGrid w:val="0"/>
              <w:spacing w:line="320" w:lineRule="exact"/>
              <w:rPr>
                <w:rFonts w:cs="Times New Roman"/>
                <w:color w:val="auto"/>
                <w:sz w:val="24"/>
                <w:highlight w:val="none"/>
              </w:rPr>
            </w:pPr>
            <w:r>
              <w:rPr>
                <w:rFonts w:cs="Times New Roman"/>
                <w:color w:val="auto"/>
                <w:sz w:val="24"/>
                <w:highlight w:val="none"/>
              </w:rPr>
              <w:t>5.3.2花生收获机</w:t>
            </w:r>
          </w:p>
          <w:p>
            <w:pPr>
              <w:adjustRightInd w:val="0"/>
              <w:snapToGrid w:val="0"/>
              <w:spacing w:line="320" w:lineRule="exact"/>
              <w:rPr>
                <w:rFonts w:cs="Times New Roman"/>
                <w:color w:val="auto"/>
                <w:sz w:val="24"/>
                <w:highlight w:val="none"/>
              </w:rPr>
            </w:pPr>
            <w:r>
              <w:rPr>
                <w:rFonts w:cs="Times New Roman"/>
                <w:color w:val="auto"/>
                <w:sz w:val="24"/>
                <w:highlight w:val="none"/>
              </w:rPr>
              <w:t>5.3.3油菜籽收获机</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5.收获机械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5.5果菜茶烟草药收获机械</w:t>
            </w:r>
          </w:p>
        </w:tc>
        <w:tc>
          <w:tcPr>
            <w:tcW w:w="3385"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5.5.1叶类采收机</w:t>
            </w:r>
          </w:p>
          <w:p>
            <w:pPr>
              <w:adjustRightInd w:val="0"/>
              <w:snapToGrid w:val="0"/>
              <w:spacing w:line="320" w:lineRule="exact"/>
              <w:rPr>
                <w:rFonts w:cs="Times New Roman"/>
                <w:color w:val="auto"/>
                <w:sz w:val="24"/>
                <w:highlight w:val="none"/>
              </w:rPr>
            </w:pPr>
            <w:r>
              <w:rPr>
                <w:rFonts w:cs="Times New Roman"/>
                <w:color w:val="auto"/>
                <w:sz w:val="24"/>
                <w:highlight w:val="none"/>
              </w:rPr>
              <w:t>5.5.2果类收获机</w:t>
            </w:r>
          </w:p>
          <w:p>
            <w:pPr>
              <w:adjustRightInd w:val="0"/>
              <w:snapToGrid w:val="0"/>
              <w:spacing w:line="320" w:lineRule="exact"/>
              <w:rPr>
                <w:rFonts w:cs="Times New Roman"/>
                <w:color w:val="auto"/>
                <w:sz w:val="24"/>
                <w:highlight w:val="none"/>
              </w:rPr>
            </w:pPr>
            <w:r>
              <w:rPr>
                <w:rFonts w:cs="Times New Roman"/>
                <w:color w:val="auto"/>
                <w:sz w:val="24"/>
                <w:highlight w:val="none"/>
              </w:rPr>
              <w:t>5.5.3瓜类采收机</w:t>
            </w:r>
          </w:p>
          <w:p>
            <w:pPr>
              <w:adjustRightInd w:val="0"/>
              <w:snapToGrid w:val="0"/>
              <w:spacing w:line="320" w:lineRule="exact"/>
              <w:rPr>
                <w:rFonts w:cs="Times New Roman"/>
                <w:color w:val="auto"/>
                <w:sz w:val="24"/>
                <w:highlight w:val="none"/>
              </w:rPr>
            </w:pPr>
            <w:r>
              <w:rPr>
                <w:rFonts w:cs="Times New Roman"/>
                <w:color w:val="auto"/>
                <w:sz w:val="24"/>
                <w:highlight w:val="none"/>
              </w:rPr>
              <w:t>5.5.4根（茎）类收获机</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5.收获机械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5.6秸秆收集处理机械</w:t>
            </w:r>
          </w:p>
        </w:tc>
        <w:tc>
          <w:tcPr>
            <w:tcW w:w="3385"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5.6.1秸秆粉碎还田机</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5.收获机械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5.7收获割台</w:t>
            </w:r>
          </w:p>
        </w:tc>
        <w:tc>
          <w:tcPr>
            <w:tcW w:w="3385"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5.7.1大豆收获专用割台</w:t>
            </w:r>
          </w:p>
          <w:p>
            <w:pPr>
              <w:adjustRightInd w:val="0"/>
              <w:snapToGrid w:val="0"/>
              <w:spacing w:line="320" w:lineRule="exact"/>
              <w:rPr>
                <w:rFonts w:cs="Times New Roman"/>
                <w:color w:val="auto"/>
                <w:sz w:val="24"/>
                <w:highlight w:val="none"/>
              </w:rPr>
            </w:pPr>
            <w:r>
              <w:rPr>
                <w:rFonts w:cs="Times New Roman"/>
                <w:color w:val="auto"/>
                <w:sz w:val="24"/>
                <w:highlight w:val="none"/>
              </w:rPr>
              <w:t>5.7.2玉米收获专用割台</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6.设施种植机械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6.1食用菌生产设备</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6.1.1菌料灭菌设备</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6.1.2菌料装瓶（袋）机</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7.田间监测及作业监控设备</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7.1田间作业监控设备</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7.1.1辅助驾驶（系统）设备</w:t>
            </w:r>
            <w:r>
              <w:rPr>
                <w:rFonts w:hint="eastAsia" w:cs="Times New Roman"/>
                <w:color w:val="auto"/>
                <w:sz w:val="24"/>
                <w:highlight w:val="none"/>
              </w:rPr>
              <w:t>（含渔船用）</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8.种植业废弃物处理设备</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8.1农田废弃物收集设备</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8.1.1残膜回收机</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8.种植业废弃物处理设备</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8.2农作物废弃物处理设备</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8.2.1生物质气化设备</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8.2.2秸秆压块（粒、棒）机</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9.饲料（草）收获加工运输设备</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9.1饲料（草）收获机械</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9.1.1割草（压扁）机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9.1.2搂草机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9.1.3打（压）捆机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9.1.4草捆包膜机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9.1.5青（黄）饲料收获机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9.1.6打捆包膜机</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9.饲料（草）收获加工运输设备</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9.2饲料（草）加工机械</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9.2.1铡草机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9.2.2青贮切碎机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9.2.3饲料（草）粉碎机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9.2.4颗粒饲料压制机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9.2.5饲料混合机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9.2.6饲料膨化机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9.2.7全混合日粮制备机</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9.饲料（草）收获加工运输设备</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9.3饲料（草）搬运机械</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9.3.1饲草捆收集机</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10.畜禽养殖机械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10.2畜禽养殖消杀防疫机械</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10.2.1药浴机</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10.畜禽养殖机械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10.3畜禽繁育设备</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10.3.1孵化机</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10.畜禽养殖机械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10.4饲养设备</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10.4.1喂（送）料机</w:t>
            </w:r>
          </w:p>
        </w:tc>
        <w:tc>
          <w:tcPr>
            <w:tcW w:w="2748"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10.4.2养殖场料塔（仓）设备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11.畜禽产品采集储运设备</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11.1畜禽产品采集设备</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11.1.1剪毛机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11.1.2挤奶机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11.1.3生鲜乳速冷设备</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11.1.4散装乳冷藏罐</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11.畜禽产品采集储运设备</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11.2畜禽产品储运设备</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11.2.1储奶罐</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3"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12.畜禽养殖废弃物及病死畜禽处理设备</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12.1畜禽粪污资源化利用设备</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12.1.1清粪机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12.1.2畜禽粪污固液分离机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12.1.3畜禽粪便发酵处理设备</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12.1.4畜禽粪便干燥设备</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12.1.5畜禽粪便翻堆设备</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12.1.6沼液沼渣抽排设备</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12.畜禽养殖废弃物及病死畜禽处理设备</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12.2病死畜禽储运及处理设备</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12.2.1病死畜禽处理设备</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13.水产养殖机械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13.1水产养殖成套设备</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13.1.1网箱养殖装置</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13.水产养殖机械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13.2投饲机械</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13.2.1投（饲）饵机</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13.水产养殖机械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13.3水质调控设备</w:t>
            </w:r>
          </w:p>
        </w:tc>
        <w:tc>
          <w:tcPr>
            <w:tcW w:w="3385" w:type="dxa"/>
            <w:noWrap w:val="0"/>
            <w:vAlign w:val="center"/>
          </w:tcPr>
          <w:p>
            <w:pPr>
              <w:adjustRightInd w:val="0"/>
              <w:snapToGrid w:val="0"/>
              <w:spacing w:line="320" w:lineRule="exact"/>
              <w:jc w:val="left"/>
              <w:rPr>
                <w:rFonts w:cs="Times New Roman"/>
                <w:strike w:val="0"/>
                <w:dstrike/>
                <w:color w:val="auto"/>
                <w:sz w:val="24"/>
                <w:highlight w:val="none"/>
              </w:rPr>
            </w:pPr>
            <w:r>
              <w:rPr>
                <w:rFonts w:cs="Times New Roman"/>
                <w:strike w:val="0"/>
                <w:dstrike w:val="0"/>
                <w:color w:val="auto"/>
                <w:sz w:val="24"/>
                <w:highlight w:val="none"/>
              </w:rPr>
              <w:t>13.3.1增氧机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13.3.2水质调控监控设备</w:t>
            </w:r>
          </w:p>
        </w:tc>
        <w:tc>
          <w:tcPr>
            <w:tcW w:w="2748" w:type="dxa"/>
            <w:noWrap w:val="0"/>
            <w:vAlign w:val="center"/>
          </w:tcPr>
          <w:p>
            <w:pPr>
              <w:adjustRightInd w:val="0"/>
              <w:snapToGrid w:val="0"/>
              <w:spacing w:line="320" w:lineRule="exact"/>
              <w:jc w:val="left"/>
              <w:rPr>
                <w:rFonts w:cs="Times New Roman"/>
                <w:color w:val="auto"/>
                <w:sz w:val="24"/>
                <w:highlight w:val="none"/>
              </w:rPr>
            </w:pPr>
            <w:r>
              <w:rPr>
                <w:rFonts w:hint="eastAsia" w:cs="Times New Roman"/>
                <w:color w:val="auto"/>
                <w:sz w:val="24"/>
                <w:highlight w:val="none"/>
                <w:lang w:val="en-US" w:eastAsia="zh-CN"/>
              </w:rPr>
              <w:t>13.3.3</w:t>
            </w:r>
            <w:r>
              <w:rPr>
                <w:rFonts w:hint="eastAsia" w:cs="Times New Roman"/>
                <w:color w:val="auto"/>
                <w:sz w:val="24"/>
                <w:highlight w:val="none"/>
              </w:rPr>
              <w:t>水草清理（梳割）机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14.捕捞机械设备</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14.1绞纲机械</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14.1.1绞纲机</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14.捕捞机械设备</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14.2其他捕捞机械设备</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14.2.1船用油污水分离装置</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15.种子初加工机械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15.1种子初加工机械</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15.1.1种子清选机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15.1.2种子包衣机</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3"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16.粮油糖初加工机械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16.1粮食初加工机械</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16.1.1粮食清选机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16.1.2谷物（粮食）干燥机（烘干机）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16.1.3碾米机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16.1.4粮食色选机</w:t>
            </w:r>
          </w:p>
        </w:tc>
        <w:tc>
          <w:tcPr>
            <w:tcW w:w="2748"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16.1.5金属储粮筒仓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16.粮油糖初加工机械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16.2油料初加工机械</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16.2.1油菜籽干燥机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16.2.2油料果（籽）脱（剥）壳机</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18.果菜茶初加工机械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18.1果蔬初加工机械</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18.1.1果蔬分级机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18.1.2果蔬清洗机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18.1.3水果打蜡机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18.1.4果蔬干燥机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18.1.5脱蓬（脯）机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18.1.6青果（豆）脱壳机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18.1.9果蔬冷藏保鲜设备</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6"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18.果菜茶初加工机械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18.2茶叶初加工机械</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18.2.2茶叶杀青机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18.2.3茶叶揉捻机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18.2.4茶叶压扁机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18.2.5茶叶理条机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18.2.6茶叶炒（烘）干机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18.2.7茶叶清选机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18.2.8茶叶色选机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18.2.9茶叶输送机</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20.农用动力机械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20.1拖拉机</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20.1.1轮式拖拉机</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20.1.3履带式拖拉机</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21.农用搬运机械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21.1农用运输机械</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21.1.1田间搬运机</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22.农用水泵</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22.1农用水泵</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22.1.2地面泵（机组）</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23.设施环境控制设备</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23.1设施环境控制设备</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23.1.2加温设备</w:t>
            </w:r>
          </w:p>
          <w:p>
            <w:pPr>
              <w:adjustRightInd w:val="0"/>
              <w:snapToGrid w:val="0"/>
              <w:spacing w:line="320" w:lineRule="exact"/>
              <w:jc w:val="left"/>
              <w:rPr>
                <w:rFonts w:cs="Times New Roman"/>
                <w:color w:val="auto"/>
                <w:sz w:val="24"/>
                <w:highlight w:val="none"/>
              </w:rPr>
            </w:pPr>
            <w:r>
              <w:rPr>
                <w:rFonts w:cs="Times New Roman"/>
                <w:color w:val="auto"/>
                <w:sz w:val="24"/>
                <w:highlight w:val="none"/>
              </w:rPr>
              <w:t>23.1.3湿帘降温设备</w:t>
            </w:r>
          </w:p>
        </w:tc>
        <w:tc>
          <w:tcPr>
            <w:tcW w:w="2748" w:type="dxa"/>
            <w:noWrap w:val="0"/>
            <w:vAlign w:val="center"/>
          </w:tcPr>
          <w:p>
            <w:pPr>
              <w:adjustRightInd w:val="0"/>
              <w:snapToGrid w:val="0"/>
              <w:spacing w:line="320" w:lineRule="exact"/>
              <w:jc w:val="left"/>
              <w:rPr>
                <w:rFonts w:cs="Times New Roman"/>
                <w:color w:val="auto"/>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jc w:val="center"/>
        </w:trPr>
        <w:tc>
          <w:tcPr>
            <w:tcW w:w="1231"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24.农田基本建设机械</w:t>
            </w:r>
          </w:p>
        </w:tc>
        <w:tc>
          <w:tcPr>
            <w:tcW w:w="1560" w:type="dxa"/>
            <w:noWrap w:val="0"/>
            <w:vAlign w:val="center"/>
          </w:tcPr>
          <w:p>
            <w:pPr>
              <w:adjustRightInd w:val="0"/>
              <w:snapToGrid w:val="0"/>
              <w:spacing w:line="320" w:lineRule="exact"/>
              <w:rPr>
                <w:rFonts w:cs="Times New Roman"/>
                <w:color w:val="auto"/>
                <w:sz w:val="24"/>
                <w:highlight w:val="none"/>
              </w:rPr>
            </w:pPr>
            <w:r>
              <w:rPr>
                <w:rFonts w:cs="Times New Roman"/>
                <w:color w:val="auto"/>
                <w:sz w:val="24"/>
                <w:highlight w:val="none"/>
              </w:rPr>
              <w:t>24.1平地机械（限与拖拉机配套）</w:t>
            </w:r>
          </w:p>
        </w:tc>
        <w:tc>
          <w:tcPr>
            <w:tcW w:w="3385" w:type="dxa"/>
            <w:noWrap w:val="0"/>
            <w:vAlign w:val="center"/>
          </w:tcPr>
          <w:p>
            <w:pPr>
              <w:adjustRightInd w:val="0"/>
              <w:snapToGrid w:val="0"/>
              <w:spacing w:line="320" w:lineRule="exact"/>
              <w:jc w:val="left"/>
              <w:rPr>
                <w:rFonts w:cs="Times New Roman"/>
                <w:color w:val="auto"/>
                <w:sz w:val="24"/>
                <w:highlight w:val="none"/>
              </w:rPr>
            </w:pPr>
            <w:r>
              <w:rPr>
                <w:rFonts w:cs="Times New Roman"/>
                <w:color w:val="auto"/>
                <w:sz w:val="24"/>
                <w:highlight w:val="none"/>
              </w:rPr>
              <w:t>24.1.1平地机</w:t>
            </w:r>
          </w:p>
        </w:tc>
        <w:tc>
          <w:tcPr>
            <w:tcW w:w="2748" w:type="dxa"/>
            <w:noWrap w:val="0"/>
            <w:vAlign w:val="center"/>
          </w:tcPr>
          <w:p>
            <w:pPr>
              <w:adjustRightInd w:val="0"/>
              <w:snapToGrid w:val="0"/>
              <w:spacing w:line="320" w:lineRule="exact"/>
              <w:jc w:val="left"/>
              <w:rPr>
                <w:rFonts w:cs="Times New Roman"/>
                <w:color w:val="auto"/>
                <w:sz w:val="24"/>
                <w:highlight w:val="none"/>
              </w:rPr>
            </w:pPr>
          </w:p>
        </w:tc>
      </w:tr>
    </w:tbl>
    <w:p>
      <w:pPr>
        <w:adjustRightInd w:val="0"/>
        <w:snapToGrid w:val="0"/>
        <w:spacing w:line="480" w:lineRule="exact"/>
        <w:jc w:val="left"/>
        <w:rPr>
          <w:rFonts w:hint="eastAsia" w:ascii="仿宋_GB2312" w:hAnsi="仿宋_GB2312" w:eastAsia="仿宋_GB2312" w:cs="仿宋_GB2312"/>
          <w:color w:val="auto"/>
          <w:kern w:val="0"/>
          <w:sz w:val="24"/>
        </w:rPr>
      </w:pPr>
    </w:p>
    <w:p>
      <w:pPr>
        <w:adjustRightInd w:val="0"/>
        <w:snapToGrid w:val="0"/>
        <w:spacing w:line="480" w:lineRule="exact"/>
        <w:jc w:val="left"/>
        <w:rPr>
          <w:rFonts w:hint="eastAsia" w:ascii="仿宋_GB2312" w:hAnsi="仿宋_GB2312" w:eastAsia="仿宋_GB2312" w:cs="仿宋_GB2312"/>
          <w:color w:val="auto"/>
          <w:kern w:val="0"/>
          <w:sz w:val="24"/>
        </w:rPr>
      </w:pPr>
    </w:p>
    <w:p>
      <w:pPr>
        <w:adjustRightInd w:val="0"/>
        <w:snapToGrid w:val="0"/>
        <w:spacing w:line="480" w:lineRule="exact"/>
        <w:jc w:val="left"/>
        <w:rPr>
          <w:rFonts w:hint="eastAsia" w:ascii="仿宋_GB2312" w:hAnsi="仿宋_GB2312" w:eastAsia="仿宋_GB2312" w:cs="仿宋_GB2312"/>
          <w:color w:val="auto"/>
          <w:kern w:val="0"/>
          <w:sz w:val="24"/>
        </w:rPr>
      </w:pPr>
    </w:p>
    <w:p>
      <w:pPr>
        <w:adjustRightInd w:val="0"/>
        <w:snapToGrid w:val="0"/>
        <w:spacing w:line="480" w:lineRule="exact"/>
        <w:jc w:val="left"/>
        <w:rPr>
          <w:rFonts w:hint="eastAsia" w:ascii="仿宋_GB2312" w:hAnsi="仿宋_GB2312" w:eastAsia="仿宋_GB2312" w:cs="仿宋_GB2312"/>
          <w:color w:val="auto"/>
          <w:kern w:val="0"/>
          <w:sz w:val="24"/>
        </w:rPr>
      </w:pPr>
    </w:p>
    <w:p>
      <w:pPr>
        <w:adjustRightInd w:val="0"/>
        <w:snapToGrid w:val="0"/>
        <w:spacing w:line="480" w:lineRule="exact"/>
        <w:jc w:val="left"/>
        <w:rPr>
          <w:rFonts w:hint="eastAsia" w:ascii="仿宋_GB2312" w:hAnsi="仿宋_GB2312" w:eastAsia="仿宋_GB2312" w:cs="仿宋_GB2312"/>
          <w:color w:val="auto"/>
          <w:kern w:val="0"/>
          <w:sz w:val="24"/>
        </w:rPr>
      </w:pPr>
    </w:p>
    <w:p>
      <w:pPr>
        <w:adjustRightInd w:val="0"/>
        <w:snapToGrid w:val="0"/>
        <w:spacing w:line="560" w:lineRule="exact"/>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附件</w:t>
      </w:r>
      <w:r>
        <w:rPr>
          <w:rFonts w:hint="eastAsia" w:ascii="仿宋_GB2312" w:hAnsi="仿宋_GB2312" w:eastAsia="仿宋_GB2312" w:cs="仿宋_GB2312"/>
          <w:color w:val="auto"/>
          <w:sz w:val="30"/>
          <w:szCs w:val="30"/>
          <w:lang w:val="en-US" w:eastAsia="zh-CN"/>
        </w:rPr>
        <w:t>2</w:t>
      </w:r>
      <w:r>
        <w:rPr>
          <w:rFonts w:hint="eastAsia" w:ascii="仿宋_GB2312" w:hAnsi="仿宋_GB2312" w:eastAsia="仿宋_GB2312" w:cs="仿宋_GB2312"/>
          <w:color w:val="auto"/>
          <w:sz w:val="30"/>
          <w:szCs w:val="30"/>
        </w:rPr>
        <w:t>：</w:t>
      </w:r>
    </w:p>
    <w:p>
      <w:pPr>
        <w:adjustRightInd w:val="0"/>
        <w:snapToGrid w:val="0"/>
        <w:spacing w:line="560" w:lineRule="exact"/>
        <w:rPr>
          <w:rFonts w:hint="eastAsia" w:ascii="仿宋_GB2312" w:hAnsi="仿宋_GB2312" w:eastAsia="仿宋_GB2312" w:cs="仿宋_GB2312"/>
          <w:color w:val="auto"/>
          <w:sz w:val="30"/>
          <w:szCs w:val="30"/>
        </w:rPr>
      </w:pPr>
    </w:p>
    <w:p>
      <w:pPr>
        <w:spacing w:line="560" w:lineRule="exact"/>
        <w:jc w:val="center"/>
        <w:rPr>
          <w:rFonts w:hint="default" w:ascii="Times New Roman" w:hAnsi="Times New Roman" w:eastAsia="方正小标宋_GBK" w:cs="Times New Roman"/>
          <w:color w:val="auto"/>
          <w:sz w:val="44"/>
          <w:szCs w:val="44"/>
          <w:highlight w:val="none"/>
          <w:lang w:bidi="ar-SA"/>
        </w:rPr>
      </w:pPr>
      <w:r>
        <w:rPr>
          <w:rFonts w:hint="default" w:ascii="Times New Roman" w:hAnsi="Times New Roman" w:eastAsia="方正小标宋_GBK" w:cs="Times New Roman"/>
          <w:color w:val="auto"/>
          <w:sz w:val="44"/>
          <w:szCs w:val="44"/>
          <w:highlight w:val="none"/>
          <w:lang w:bidi="ar-SA"/>
        </w:rPr>
        <w:t>江苏省农机购置与应用补贴机具安装确认表</w:t>
      </w:r>
    </w:p>
    <w:p>
      <w:pPr>
        <w:adjustRightInd w:val="0"/>
        <w:snapToGrid w:val="0"/>
        <w:jc w:val="center"/>
        <w:rPr>
          <w:rFonts w:hint="default" w:ascii="Times New Roman" w:hAnsi="Times New Roman" w:eastAsia="方正楷体_GBK" w:cs="Times New Roman"/>
          <w:color w:val="auto"/>
          <w:highlight w:val="none"/>
          <w:lang w:bidi="ar-SA"/>
        </w:rPr>
      </w:pPr>
      <w:r>
        <w:rPr>
          <w:rFonts w:hint="default" w:ascii="Times New Roman" w:hAnsi="Times New Roman" w:eastAsia="方正楷体_GBK" w:cs="Times New Roman"/>
          <w:color w:val="auto"/>
          <w:highlight w:val="none"/>
          <w:lang w:bidi="ar-SA"/>
        </w:rPr>
        <w:t>（参考格式）</w:t>
      </w:r>
    </w:p>
    <w:tbl>
      <w:tblPr>
        <w:tblStyle w:val="13"/>
        <w:tblW w:w="8978" w:type="dxa"/>
        <w:jc w:val="center"/>
        <w:tblLayout w:type="fixed"/>
        <w:tblCellMar>
          <w:top w:w="0" w:type="dxa"/>
          <w:left w:w="108" w:type="dxa"/>
          <w:bottom w:w="0" w:type="dxa"/>
          <w:right w:w="108" w:type="dxa"/>
        </w:tblCellMar>
      </w:tblPr>
      <w:tblGrid>
        <w:gridCol w:w="544"/>
        <w:gridCol w:w="1440"/>
        <w:gridCol w:w="3253"/>
        <w:gridCol w:w="1223"/>
        <w:gridCol w:w="2518"/>
      </w:tblGrid>
      <w:tr>
        <w:tblPrEx>
          <w:tblCellMar>
            <w:top w:w="0" w:type="dxa"/>
            <w:left w:w="108" w:type="dxa"/>
            <w:bottom w:w="0" w:type="dxa"/>
            <w:right w:w="108" w:type="dxa"/>
          </w:tblCellMar>
        </w:tblPrEx>
        <w:trPr>
          <w:trHeight w:val="345" w:hRule="atLeast"/>
          <w:jc w:val="center"/>
        </w:trPr>
        <w:tc>
          <w:tcPr>
            <w:tcW w:w="1984" w:type="dxa"/>
            <w:gridSpan w:val="2"/>
            <w:vMerge w:val="restart"/>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hint="default" w:ascii="Times New Roman" w:hAnsi="Times New Roman" w:cs="Times New Roman"/>
                <w:color w:val="auto"/>
                <w:kern w:val="0"/>
                <w:szCs w:val="21"/>
                <w:highlight w:val="none"/>
                <w:lang w:bidi="ar-SA"/>
              </w:rPr>
            </w:pPr>
            <w:r>
              <w:rPr>
                <w:rFonts w:hint="default" w:ascii="Times New Roman" w:hAnsi="Times New Roman" w:cs="Times New Roman"/>
                <w:color w:val="auto"/>
                <w:kern w:val="0"/>
                <w:sz w:val="21"/>
                <w:szCs w:val="21"/>
                <w:highlight w:val="none"/>
                <w:lang w:bidi="ar-SA"/>
              </w:rPr>
              <w:t>购机者名称</w:t>
            </w:r>
          </w:p>
        </w:tc>
        <w:tc>
          <w:tcPr>
            <w:tcW w:w="3253" w:type="dxa"/>
            <w:vMerge w:val="restart"/>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hint="default" w:ascii="Times New Roman" w:hAnsi="Times New Roman" w:cs="Times New Roman"/>
                <w:color w:val="auto"/>
                <w:kern w:val="0"/>
                <w:sz w:val="21"/>
                <w:szCs w:val="21"/>
                <w:highlight w:val="none"/>
                <w:lang w:bidi="ar-SA"/>
              </w:rPr>
            </w:pPr>
          </w:p>
        </w:tc>
        <w:tc>
          <w:tcPr>
            <w:tcW w:w="1223"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hint="default" w:ascii="Times New Roman" w:hAnsi="Times New Roman" w:cs="Times New Roman"/>
                <w:color w:val="auto"/>
                <w:kern w:val="0"/>
                <w:szCs w:val="21"/>
                <w:highlight w:val="none"/>
                <w:lang w:bidi="ar-SA"/>
              </w:rPr>
            </w:pPr>
            <w:r>
              <w:rPr>
                <w:rFonts w:hint="default" w:ascii="Times New Roman" w:hAnsi="Times New Roman" w:cs="Times New Roman"/>
                <w:color w:val="auto"/>
                <w:kern w:val="0"/>
                <w:sz w:val="21"/>
                <w:szCs w:val="21"/>
                <w:highlight w:val="none"/>
                <w:lang w:bidi="ar-SA"/>
              </w:rPr>
              <w:t>安装地点</w:t>
            </w:r>
          </w:p>
        </w:tc>
        <w:tc>
          <w:tcPr>
            <w:tcW w:w="251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hint="default" w:ascii="Times New Roman" w:hAnsi="Times New Roman" w:cs="Times New Roman"/>
                <w:color w:val="auto"/>
                <w:kern w:val="0"/>
                <w:sz w:val="21"/>
                <w:szCs w:val="21"/>
                <w:highlight w:val="none"/>
                <w:lang w:bidi="ar-SA"/>
              </w:rPr>
            </w:pPr>
          </w:p>
        </w:tc>
      </w:tr>
      <w:tr>
        <w:tblPrEx>
          <w:tblCellMar>
            <w:top w:w="0" w:type="dxa"/>
            <w:left w:w="108" w:type="dxa"/>
            <w:bottom w:w="0" w:type="dxa"/>
            <w:right w:w="108" w:type="dxa"/>
          </w:tblCellMar>
        </w:tblPrEx>
        <w:trPr>
          <w:trHeight w:val="499" w:hRule="atLeast"/>
          <w:jc w:val="center"/>
        </w:trPr>
        <w:tc>
          <w:tcPr>
            <w:tcW w:w="1984" w:type="dxa"/>
            <w:gridSpan w:val="2"/>
            <w:vMerge w:val="continue"/>
            <w:tcBorders>
              <w:top w:val="single" w:color="auto" w:sz="4" w:space="0"/>
              <w:left w:val="single" w:color="auto" w:sz="4" w:space="0"/>
              <w:bottom w:val="single" w:color="auto" w:sz="4" w:space="0"/>
              <w:right w:val="single" w:color="auto" w:sz="4" w:space="0"/>
            </w:tcBorders>
            <w:noWrap/>
            <w:vAlign w:val="center"/>
          </w:tcPr>
          <w:p>
            <w:pPr>
              <w:rPr>
                <w:rFonts w:hint="default" w:ascii="Times New Roman" w:hAnsi="Times New Roman" w:cs="Times New Roman"/>
                <w:color w:val="auto"/>
              </w:rPr>
            </w:pPr>
          </w:p>
        </w:tc>
        <w:tc>
          <w:tcPr>
            <w:tcW w:w="3253" w:type="dxa"/>
            <w:vMerge w:val="continue"/>
            <w:tcBorders>
              <w:top w:val="single" w:color="auto" w:sz="4" w:space="0"/>
              <w:left w:val="single" w:color="auto" w:sz="4" w:space="0"/>
              <w:bottom w:val="single" w:color="auto" w:sz="4" w:space="0"/>
              <w:right w:val="single" w:color="auto" w:sz="4" w:space="0"/>
            </w:tcBorders>
            <w:noWrap/>
            <w:vAlign w:val="center"/>
          </w:tcPr>
          <w:p>
            <w:pPr>
              <w:rPr>
                <w:rFonts w:hint="default" w:ascii="Times New Roman" w:hAnsi="Times New Roman" w:cs="Times New Roman"/>
                <w:color w:val="auto"/>
              </w:rPr>
            </w:pPr>
          </w:p>
        </w:tc>
        <w:tc>
          <w:tcPr>
            <w:tcW w:w="1223"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hint="default" w:ascii="Times New Roman" w:hAnsi="Times New Roman" w:cs="Times New Roman"/>
                <w:color w:val="auto"/>
                <w:kern w:val="0"/>
                <w:szCs w:val="21"/>
                <w:highlight w:val="none"/>
                <w:lang w:bidi="ar-SA"/>
              </w:rPr>
            </w:pPr>
            <w:r>
              <w:rPr>
                <w:rFonts w:hint="default" w:ascii="Times New Roman" w:hAnsi="Times New Roman" w:cs="Times New Roman"/>
                <w:color w:val="auto"/>
                <w:kern w:val="0"/>
                <w:sz w:val="21"/>
                <w:szCs w:val="21"/>
                <w:highlight w:val="none"/>
                <w:lang w:bidi="ar-SA"/>
              </w:rPr>
              <w:t>联系电话</w:t>
            </w:r>
          </w:p>
        </w:tc>
        <w:tc>
          <w:tcPr>
            <w:tcW w:w="251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hint="default" w:ascii="Times New Roman" w:hAnsi="Times New Roman" w:cs="Times New Roman"/>
                <w:color w:val="auto"/>
                <w:kern w:val="0"/>
                <w:sz w:val="21"/>
                <w:szCs w:val="21"/>
                <w:highlight w:val="none"/>
                <w:lang w:bidi="ar-SA"/>
              </w:rPr>
            </w:pPr>
          </w:p>
        </w:tc>
      </w:tr>
      <w:tr>
        <w:tblPrEx>
          <w:tblCellMar>
            <w:top w:w="0" w:type="dxa"/>
            <w:left w:w="108" w:type="dxa"/>
            <w:bottom w:w="0" w:type="dxa"/>
            <w:right w:w="108" w:type="dxa"/>
          </w:tblCellMar>
        </w:tblPrEx>
        <w:trPr>
          <w:trHeight w:val="432" w:hRule="atLeast"/>
          <w:jc w:val="center"/>
        </w:trPr>
        <w:tc>
          <w:tcPr>
            <w:tcW w:w="1984" w:type="dxa"/>
            <w:gridSpan w:val="2"/>
            <w:vMerge w:val="restart"/>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hint="default" w:ascii="Times New Roman" w:hAnsi="Times New Roman" w:cs="Times New Roman"/>
                <w:color w:val="auto"/>
                <w:kern w:val="0"/>
                <w:szCs w:val="21"/>
                <w:highlight w:val="none"/>
                <w:lang w:bidi="ar-SA"/>
              </w:rPr>
            </w:pPr>
            <w:r>
              <w:rPr>
                <w:rFonts w:hint="default" w:ascii="Times New Roman" w:hAnsi="Times New Roman" w:cs="Times New Roman"/>
                <w:color w:val="auto"/>
                <w:kern w:val="0"/>
                <w:sz w:val="21"/>
                <w:szCs w:val="21"/>
                <w:highlight w:val="none"/>
                <w:lang w:bidi="ar-SA"/>
              </w:rPr>
              <w:t>产品名称</w:t>
            </w:r>
          </w:p>
        </w:tc>
        <w:tc>
          <w:tcPr>
            <w:tcW w:w="3253" w:type="dxa"/>
            <w:vMerge w:val="restart"/>
            <w:tcBorders>
              <w:top w:val="nil"/>
              <w:left w:val="nil"/>
              <w:bottom w:val="nil"/>
              <w:right w:val="single" w:color="auto" w:sz="4" w:space="0"/>
            </w:tcBorders>
            <w:noWrap/>
            <w:vAlign w:val="center"/>
          </w:tcPr>
          <w:p>
            <w:pPr>
              <w:adjustRightInd w:val="0"/>
              <w:snapToGrid w:val="0"/>
              <w:jc w:val="center"/>
              <w:rPr>
                <w:rFonts w:hint="default" w:ascii="Times New Roman" w:hAnsi="Times New Roman" w:cs="Times New Roman"/>
                <w:color w:val="auto"/>
                <w:kern w:val="0"/>
                <w:sz w:val="21"/>
                <w:szCs w:val="21"/>
                <w:highlight w:val="none"/>
                <w:lang w:bidi="ar-SA"/>
              </w:rPr>
            </w:pPr>
          </w:p>
        </w:tc>
        <w:tc>
          <w:tcPr>
            <w:tcW w:w="1223" w:type="dxa"/>
            <w:tcBorders>
              <w:top w:val="nil"/>
              <w:left w:val="nil"/>
              <w:bottom w:val="single" w:color="auto" w:sz="4" w:space="0"/>
              <w:right w:val="single" w:color="auto" w:sz="4" w:space="0"/>
            </w:tcBorders>
            <w:noWrap/>
            <w:vAlign w:val="center"/>
          </w:tcPr>
          <w:p>
            <w:pPr>
              <w:adjustRightInd w:val="0"/>
              <w:snapToGrid w:val="0"/>
              <w:jc w:val="center"/>
              <w:rPr>
                <w:rFonts w:hint="default" w:ascii="Times New Roman" w:hAnsi="Times New Roman" w:cs="Times New Roman"/>
                <w:color w:val="auto"/>
                <w:kern w:val="0"/>
                <w:szCs w:val="21"/>
                <w:highlight w:val="none"/>
                <w:lang w:bidi="ar-SA"/>
              </w:rPr>
            </w:pPr>
            <w:r>
              <w:rPr>
                <w:rFonts w:hint="default" w:ascii="Times New Roman" w:hAnsi="Times New Roman" w:cs="Times New Roman"/>
                <w:color w:val="auto"/>
                <w:kern w:val="0"/>
                <w:sz w:val="21"/>
                <w:szCs w:val="21"/>
                <w:highlight w:val="none"/>
                <w:lang w:bidi="ar-SA"/>
              </w:rPr>
              <w:t>出厂编号</w:t>
            </w:r>
          </w:p>
        </w:tc>
        <w:tc>
          <w:tcPr>
            <w:tcW w:w="2518" w:type="dxa"/>
            <w:tcBorders>
              <w:top w:val="nil"/>
              <w:left w:val="nil"/>
              <w:bottom w:val="single" w:color="auto" w:sz="4" w:space="0"/>
              <w:right w:val="single" w:color="auto" w:sz="4" w:space="0"/>
            </w:tcBorders>
            <w:noWrap/>
            <w:vAlign w:val="center"/>
          </w:tcPr>
          <w:p>
            <w:pPr>
              <w:adjustRightInd w:val="0"/>
              <w:snapToGrid w:val="0"/>
              <w:jc w:val="center"/>
              <w:rPr>
                <w:rFonts w:hint="default" w:ascii="Times New Roman" w:hAnsi="Times New Roman" w:cs="Times New Roman"/>
                <w:color w:val="auto"/>
                <w:kern w:val="0"/>
                <w:sz w:val="21"/>
                <w:szCs w:val="21"/>
                <w:highlight w:val="none"/>
                <w:lang w:bidi="ar-SA"/>
              </w:rPr>
            </w:pPr>
          </w:p>
        </w:tc>
      </w:tr>
      <w:tr>
        <w:tblPrEx>
          <w:tblCellMar>
            <w:top w:w="0" w:type="dxa"/>
            <w:left w:w="108" w:type="dxa"/>
            <w:bottom w:w="0" w:type="dxa"/>
            <w:right w:w="108" w:type="dxa"/>
          </w:tblCellMar>
        </w:tblPrEx>
        <w:trPr>
          <w:trHeight w:val="394" w:hRule="atLeast"/>
          <w:jc w:val="center"/>
        </w:trPr>
        <w:tc>
          <w:tcPr>
            <w:tcW w:w="1984" w:type="dxa"/>
            <w:gridSpan w:val="2"/>
            <w:vMerge w:val="continue"/>
            <w:tcBorders>
              <w:top w:val="single" w:color="auto" w:sz="4" w:space="0"/>
              <w:left w:val="single" w:color="auto" w:sz="4" w:space="0"/>
              <w:bottom w:val="single" w:color="auto" w:sz="4" w:space="0"/>
              <w:right w:val="single" w:color="auto" w:sz="4" w:space="0"/>
            </w:tcBorders>
            <w:noWrap/>
            <w:vAlign w:val="center"/>
          </w:tcPr>
          <w:p>
            <w:pPr>
              <w:rPr>
                <w:rFonts w:hint="default" w:ascii="Times New Roman" w:hAnsi="Times New Roman" w:cs="Times New Roman"/>
                <w:color w:val="auto"/>
              </w:rPr>
            </w:pPr>
          </w:p>
        </w:tc>
        <w:tc>
          <w:tcPr>
            <w:tcW w:w="3253" w:type="dxa"/>
            <w:vMerge w:val="continue"/>
            <w:tcBorders>
              <w:top w:val="nil"/>
              <w:left w:val="nil"/>
              <w:bottom w:val="nil"/>
              <w:right w:val="single" w:color="auto" w:sz="4" w:space="0"/>
            </w:tcBorders>
            <w:noWrap/>
            <w:vAlign w:val="center"/>
          </w:tcPr>
          <w:p>
            <w:pPr>
              <w:rPr>
                <w:rFonts w:hint="default" w:ascii="Times New Roman" w:hAnsi="Times New Roman" w:cs="Times New Roman"/>
                <w:color w:val="auto"/>
              </w:rPr>
            </w:pPr>
          </w:p>
        </w:tc>
        <w:tc>
          <w:tcPr>
            <w:tcW w:w="1223" w:type="dxa"/>
            <w:tcBorders>
              <w:top w:val="single" w:color="auto" w:sz="4" w:space="0"/>
              <w:left w:val="nil"/>
              <w:bottom w:val="nil"/>
              <w:right w:val="single" w:color="auto" w:sz="4" w:space="0"/>
            </w:tcBorders>
            <w:noWrap/>
            <w:vAlign w:val="center"/>
          </w:tcPr>
          <w:p>
            <w:pPr>
              <w:adjustRightInd w:val="0"/>
              <w:snapToGrid w:val="0"/>
              <w:jc w:val="center"/>
              <w:rPr>
                <w:rFonts w:hint="default" w:ascii="Times New Roman" w:hAnsi="Times New Roman" w:cs="Times New Roman"/>
                <w:color w:val="auto"/>
                <w:kern w:val="0"/>
                <w:szCs w:val="21"/>
                <w:highlight w:val="none"/>
                <w:lang w:bidi="ar-SA"/>
              </w:rPr>
            </w:pPr>
            <w:r>
              <w:rPr>
                <w:rFonts w:hint="default" w:ascii="Times New Roman" w:hAnsi="Times New Roman" w:cs="Times New Roman"/>
                <w:color w:val="auto"/>
                <w:kern w:val="0"/>
                <w:sz w:val="21"/>
                <w:szCs w:val="21"/>
                <w:highlight w:val="none"/>
                <w:lang w:bidi="ar-SA"/>
              </w:rPr>
              <w:t>发票号码</w:t>
            </w:r>
          </w:p>
        </w:tc>
        <w:tc>
          <w:tcPr>
            <w:tcW w:w="2518" w:type="dxa"/>
            <w:tcBorders>
              <w:top w:val="single" w:color="auto" w:sz="4" w:space="0"/>
              <w:left w:val="nil"/>
              <w:bottom w:val="nil"/>
              <w:right w:val="single" w:color="auto" w:sz="4" w:space="0"/>
            </w:tcBorders>
            <w:noWrap/>
            <w:vAlign w:val="center"/>
          </w:tcPr>
          <w:p>
            <w:pPr>
              <w:adjustRightInd w:val="0"/>
              <w:snapToGrid w:val="0"/>
              <w:jc w:val="center"/>
              <w:rPr>
                <w:rFonts w:hint="default" w:ascii="Times New Roman" w:hAnsi="Times New Roman" w:cs="Times New Roman"/>
                <w:color w:val="auto"/>
                <w:kern w:val="0"/>
                <w:sz w:val="21"/>
                <w:szCs w:val="21"/>
                <w:highlight w:val="none"/>
                <w:lang w:bidi="ar-SA"/>
              </w:rPr>
            </w:pPr>
          </w:p>
        </w:tc>
      </w:tr>
      <w:tr>
        <w:tblPrEx>
          <w:tblCellMar>
            <w:top w:w="0" w:type="dxa"/>
            <w:left w:w="108" w:type="dxa"/>
            <w:bottom w:w="0" w:type="dxa"/>
            <w:right w:w="108" w:type="dxa"/>
          </w:tblCellMar>
        </w:tblPrEx>
        <w:trPr>
          <w:trHeight w:val="435" w:hRule="atLeast"/>
          <w:jc w:val="center"/>
        </w:trPr>
        <w:tc>
          <w:tcPr>
            <w:tcW w:w="1984" w:type="dxa"/>
            <w:gridSpan w:val="2"/>
            <w:tcBorders>
              <w:top w:val="single" w:color="auto" w:sz="4" w:space="0"/>
              <w:left w:val="single" w:color="auto" w:sz="4" w:space="0"/>
              <w:bottom w:val="nil"/>
              <w:right w:val="single" w:color="auto" w:sz="4" w:space="0"/>
            </w:tcBorders>
            <w:noWrap/>
            <w:vAlign w:val="center"/>
          </w:tcPr>
          <w:p>
            <w:pPr>
              <w:adjustRightInd w:val="0"/>
              <w:snapToGrid w:val="0"/>
              <w:jc w:val="center"/>
              <w:rPr>
                <w:rFonts w:hint="default" w:ascii="Times New Roman" w:hAnsi="Times New Roman" w:cs="Times New Roman"/>
                <w:color w:val="auto"/>
                <w:kern w:val="0"/>
                <w:szCs w:val="21"/>
                <w:highlight w:val="none"/>
                <w:lang w:bidi="ar-SA"/>
              </w:rPr>
            </w:pPr>
            <w:r>
              <w:rPr>
                <w:rFonts w:hint="default" w:ascii="Times New Roman" w:hAnsi="Times New Roman" w:cs="Times New Roman"/>
                <w:color w:val="auto"/>
                <w:kern w:val="0"/>
                <w:sz w:val="21"/>
                <w:szCs w:val="21"/>
                <w:highlight w:val="none"/>
                <w:lang w:bidi="ar-SA"/>
              </w:rPr>
              <w:t>生产企业名称</w:t>
            </w:r>
          </w:p>
        </w:tc>
        <w:tc>
          <w:tcPr>
            <w:tcW w:w="3253"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hint="default" w:ascii="Times New Roman" w:hAnsi="Times New Roman" w:cs="Times New Roman"/>
                <w:color w:val="auto"/>
                <w:kern w:val="0"/>
                <w:sz w:val="21"/>
                <w:szCs w:val="21"/>
                <w:highlight w:val="none"/>
                <w:lang w:bidi="ar-SA"/>
              </w:rPr>
            </w:pPr>
          </w:p>
        </w:tc>
        <w:tc>
          <w:tcPr>
            <w:tcW w:w="1223"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hint="default" w:ascii="Times New Roman" w:hAnsi="Times New Roman" w:cs="Times New Roman"/>
                <w:color w:val="auto"/>
                <w:kern w:val="0"/>
                <w:szCs w:val="21"/>
                <w:highlight w:val="none"/>
                <w:lang w:bidi="ar-SA"/>
              </w:rPr>
            </w:pPr>
            <w:r>
              <w:rPr>
                <w:rFonts w:hint="default" w:ascii="Times New Roman" w:hAnsi="Times New Roman" w:cs="Times New Roman"/>
                <w:color w:val="auto"/>
                <w:kern w:val="0"/>
                <w:sz w:val="21"/>
                <w:szCs w:val="21"/>
                <w:highlight w:val="none"/>
                <w:lang w:bidi="ar-SA"/>
              </w:rPr>
              <w:t>经销企业联系人</w:t>
            </w:r>
          </w:p>
        </w:tc>
        <w:tc>
          <w:tcPr>
            <w:tcW w:w="251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hint="default" w:ascii="Times New Roman" w:hAnsi="Times New Roman" w:cs="Times New Roman"/>
                <w:color w:val="auto"/>
                <w:kern w:val="0"/>
                <w:sz w:val="21"/>
                <w:szCs w:val="21"/>
                <w:highlight w:val="none"/>
                <w:lang w:bidi="ar-SA"/>
              </w:rPr>
            </w:pPr>
          </w:p>
        </w:tc>
      </w:tr>
      <w:tr>
        <w:tblPrEx>
          <w:tblCellMar>
            <w:top w:w="0" w:type="dxa"/>
            <w:left w:w="108" w:type="dxa"/>
            <w:bottom w:w="0" w:type="dxa"/>
            <w:right w:w="108" w:type="dxa"/>
          </w:tblCellMar>
        </w:tblPrEx>
        <w:trPr>
          <w:trHeight w:val="469" w:hRule="atLeast"/>
          <w:jc w:val="center"/>
        </w:trPr>
        <w:tc>
          <w:tcPr>
            <w:tcW w:w="1984" w:type="dxa"/>
            <w:gridSpan w:val="2"/>
            <w:tcBorders>
              <w:top w:val="single" w:color="auto" w:sz="4" w:space="0"/>
              <w:left w:val="single" w:color="auto" w:sz="4" w:space="0"/>
              <w:bottom w:val="nil"/>
              <w:right w:val="single" w:color="auto" w:sz="4" w:space="0"/>
            </w:tcBorders>
            <w:noWrap/>
            <w:vAlign w:val="center"/>
          </w:tcPr>
          <w:p>
            <w:pPr>
              <w:jc w:val="center"/>
              <w:rPr>
                <w:rFonts w:hint="default" w:ascii="Times New Roman" w:hAnsi="Times New Roman" w:cs="Times New Roman"/>
                <w:color w:val="auto"/>
                <w:highlight w:val="none"/>
                <w:lang w:bidi="ar-SA"/>
              </w:rPr>
            </w:pPr>
            <w:r>
              <w:rPr>
                <w:rFonts w:hint="default" w:ascii="Times New Roman" w:hAnsi="Times New Roman" w:cs="Times New Roman"/>
                <w:color w:val="auto"/>
                <w:kern w:val="0"/>
                <w:sz w:val="21"/>
                <w:szCs w:val="21"/>
                <w:highlight w:val="none"/>
                <w:lang w:bidi="ar-SA"/>
              </w:rPr>
              <w:t>经销企业名称</w:t>
            </w:r>
          </w:p>
        </w:tc>
        <w:tc>
          <w:tcPr>
            <w:tcW w:w="3253" w:type="dxa"/>
            <w:tcBorders>
              <w:top w:val="single" w:color="auto" w:sz="4" w:space="0"/>
              <w:left w:val="single" w:color="auto" w:sz="4" w:space="0"/>
              <w:bottom w:val="single" w:color="auto" w:sz="4" w:space="0"/>
              <w:right w:val="single" w:color="auto" w:sz="4" w:space="0"/>
            </w:tcBorders>
            <w:noWrap/>
            <w:vAlign w:val="center"/>
          </w:tcPr>
          <w:p>
            <w:pPr>
              <w:jc w:val="center"/>
              <w:rPr>
                <w:rFonts w:hint="default" w:ascii="Times New Roman" w:hAnsi="Times New Roman" w:cs="Times New Roman"/>
                <w:color w:val="auto"/>
                <w:highlight w:val="none"/>
                <w:lang w:bidi="ar-SA"/>
              </w:rPr>
            </w:pPr>
          </w:p>
        </w:tc>
        <w:tc>
          <w:tcPr>
            <w:tcW w:w="1223"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hint="default" w:ascii="Times New Roman" w:hAnsi="Times New Roman" w:cs="Times New Roman"/>
                <w:color w:val="auto"/>
                <w:kern w:val="0"/>
                <w:szCs w:val="21"/>
                <w:highlight w:val="none"/>
                <w:lang w:bidi="ar-SA"/>
              </w:rPr>
            </w:pPr>
            <w:r>
              <w:rPr>
                <w:rFonts w:hint="default" w:ascii="Times New Roman" w:hAnsi="Times New Roman" w:cs="Times New Roman"/>
                <w:color w:val="auto"/>
                <w:kern w:val="0"/>
                <w:sz w:val="21"/>
                <w:szCs w:val="21"/>
                <w:highlight w:val="none"/>
                <w:lang w:bidi="ar-SA"/>
              </w:rPr>
              <w:t>经销企业联系电话</w:t>
            </w:r>
          </w:p>
        </w:tc>
        <w:tc>
          <w:tcPr>
            <w:tcW w:w="2518" w:type="dxa"/>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hint="default" w:ascii="Times New Roman" w:hAnsi="Times New Roman" w:cs="Times New Roman"/>
                <w:color w:val="auto"/>
                <w:kern w:val="0"/>
                <w:sz w:val="21"/>
                <w:szCs w:val="21"/>
                <w:highlight w:val="none"/>
                <w:lang w:bidi="ar-SA"/>
              </w:rPr>
            </w:pPr>
          </w:p>
        </w:tc>
      </w:tr>
      <w:tr>
        <w:tblPrEx>
          <w:tblCellMar>
            <w:top w:w="0" w:type="dxa"/>
            <w:left w:w="108" w:type="dxa"/>
            <w:bottom w:w="0" w:type="dxa"/>
            <w:right w:w="108" w:type="dxa"/>
          </w:tblCellMar>
        </w:tblPrEx>
        <w:trPr>
          <w:trHeight w:val="453" w:hRule="atLeast"/>
          <w:jc w:val="center"/>
        </w:trPr>
        <w:tc>
          <w:tcPr>
            <w:tcW w:w="1984" w:type="dxa"/>
            <w:gridSpan w:val="2"/>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hint="default" w:ascii="Times New Roman" w:hAnsi="Times New Roman" w:cs="Times New Roman"/>
                <w:color w:val="auto"/>
                <w:kern w:val="0"/>
                <w:szCs w:val="21"/>
                <w:highlight w:val="none"/>
                <w:lang w:bidi="ar-SA"/>
              </w:rPr>
            </w:pPr>
            <w:r>
              <w:rPr>
                <w:rFonts w:hint="default" w:ascii="Times New Roman" w:hAnsi="Times New Roman" w:cs="Times New Roman"/>
                <w:color w:val="auto"/>
                <w:kern w:val="0"/>
                <w:sz w:val="21"/>
                <w:szCs w:val="15"/>
                <w:highlight w:val="none"/>
                <w:lang w:bidi="ar-SA"/>
              </w:rPr>
              <w:t>品目</w:t>
            </w:r>
          </w:p>
        </w:tc>
        <w:tc>
          <w:tcPr>
            <w:tcW w:w="6994" w:type="dxa"/>
            <w:gridSpan w:val="3"/>
            <w:tcBorders>
              <w:top w:val="single" w:color="auto" w:sz="4" w:space="0"/>
              <w:left w:val="nil"/>
              <w:bottom w:val="single" w:color="auto" w:sz="4" w:space="0"/>
              <w:right w:val="single" w:color="auto" w:sz="4" w:space="0"/>
            </w:tcBorders>
            <w:noWrap/>
            <w:vAlign w:val="center"/>
          </w:tcPr>
          <w:p>
            <w:pPr>
              <w:adjustRightInd w:val="0"/>
              <w:snapToGrid w:val="0"/>
              <w:jc w:val="center"/>
              <w:rPr>
                <w:rFonts w:hint="default" w:ascii="Times New Roman" w:hAnsi="Times New Roman" w:cs="Times New Roman"/>
                <w:color w:val="auto"/>
                <w:kern w:val="0"/>
                <w:sz w:val="21"/>
                <w:szCs w:val="21"/>
                <w:highlight w:val="none"/>
                <w:lang w:bidi="ar-SA"/>
              </w:rPr>
            </w:pPr>
          </w:p>
        </w:tc>
      </w:tr>
      <w:tr>
        <w:tblPrEx>
          <w:tblCellMar>
            <w:top w:w="0" w:type="dxa"/>
            <w:left w:w="108" w:type="dxa"/>
            <w:bottom w:w="0" w:type="dxa"/>
            <w:right w:w="108" w:type="dxa"/>
          </w:tblCellMar>
        </w:tblPrEx>
        <w:trPr>
          <w:trHeight w:val="453" w:hRule="atLeast"/>
          <w:jc w:val="center"/>
        </w:trPr>
        <w:tc>
          <w:tcPr>
            <w:tcW w:w="1984" w:type="dxa"/>
            <w:gridSpan w:val="2"/>
            <w:tcBorders>
              <w:top w:val="single" w:color="auto" w:sz="4" w:space="0"/>
              <w:left w:val="single" w:color="auto" w:sz="4" w:space="0"/>
              <w:bottom w:val="single" w:color="auto" w:sz="4" w:space="0"/>
              <w:right w:val="single" w:color="auto" w:sz="4" w:space="0"/>
            </w:tcBorders>
            <w:noWrap/>
            <w:vAlign w:val="center"/>
          </w:tcPr>
          <w:p>
            <w:pPr>
              <w:adjustRightInd w:val="0"/>
              <w:snapToGrid w:val="0"/>
              <w:jc w:val="center"/>
              <w:rPr>
                <w:rFonts w:hint="default" w:ascii="Times New Roman" w:hAnsi="Times New Roman" w:cs="Times New Roman"/>
                <w:color w:val="auto"/>
                <w:kern w:val="0"/>
                <w:szCs w:val="21"/>
                <w:highlight w:val="none"/>
                <w:lang w:bidi="ar-SA"/>
              </w:rPr>
            </w:pPr>
            <w:r>
              <w:rPr>
                <w:rFonts w:hint="default" w:ascii="Times New Roman" w:hAnsi="Times New Roman" w:cs="Times New Roman"/>
                <w:color w:val="auto"/>
                <w:kern w:val="0"/>
                <w:sz w:val="21"/>
                <w:szCs w:val="21"/>
                <w:highlight w:val="none"/>
                <w:lang w:bidi="ar-SA"/>
              </w:rPr>
              <w:t>内容</w:t>
            </w:r>
          </w:p>
        </w:tc>
        <w:tc>
          <w:tcPr>
            <w:tcW w:w="4476" w:type="dxa"/>
            <w:gridSpan w:val="2"/>
            <w:tcBorders>
              <w:top w:val="single" w:color="auto" w:sz="4" w:space="0"/>
              <w:left w:val="nil"/>
              <w:bottom w:val="single" w:color="auto" w:sz="4" w:space="0"/>
              <w:right w:val="single" w:color="auto" w:sz="4" w:space="0"/>
            </w:tcBorders>
            <w:noWrap/>
            <w:vAlign w:val="center"/>
          </w:tcPr>
          <w:p>
            <w:pPr>
              <w:adjustRightInd w:val="0"/>
              <w:snapToGrid w:val="0"/>
              <w:jc w:val="center"/>
              <w:rPr>
                <w:rFonts w:hint="default" w:ascii="Times New Roman" w:hAnsi="Times New Roman" w:cs="Times New Roman"/>
                <w:color w:val="auto"/>
                <w:kern w:val="0"/>
                <w:szCs w:val="21"/>
                <w:highlight w:val="none"/>
                <w:lang w:bidi="ar-SA"/>
              </w:rPr>
            </w:pPr>
            <w:r>
              <w:rPr>
                <w:rFonts w:hint="default" w:ascii="Times New Roman" w:hAnsi="Times New Roman" w:cs="Times New Roman"/>
                <w:color w:val="auto"/>
                <w:kern w:val="0"/>
                <w:sz w:val="21"/>
                <w:szCs w:val="21"/>
                <w:highlight w:val="none"/>
                <w:lang w:bidi="ar-SA"/>
              </w:rPr>
              <w:t>补贴额一览表及产品规定配置参数要求</w:t>
            </w:r>
          </w:p>
        </w:tc>
        <w:tc>
          <w:tcPr>
            <w:tcW w:w="2518" w:type="dxa"/>
            <w:tcBorders>
              <w:top w:val="single" w:color="auto" w:sz="4" w:space="0"/>
              <w:left w:val="single" w:color="auto" w:sz="4" w:space="0"/>
              <w:bottom w:val="single" w:color="000000" w:sz="4" w:space="0"/>
              <w:right w:val="single" w:color="auto" w:sz="4" w:space="0"/>
            </w:tcBorders>
            <w:noWrap/>
            <w:vAlign w:val="center"/>
          </w:tcPr>
          <w:p>
            <w:pPr>
              <w:adjustRightInd w:val="0"/>
              <w:snapToGrid w:val="0"/>
              <w:jc w:val="center"/>
              <w:rPr>
                <w:rFonts w:hint="default" w:ascii="Times New Roman" w:hAnsi="Times New Roman" w:cs="Times New Roman"/>
                <w:color w:val="auto"/>
                <w:kern w:val="0"/>
                <w:szCs w:val="21"/>
                <w:highlight w:val="none"/>
                <w:lang w:bidi="ar-SA"/>
              </w:rPr>
            </w:pPr>
            <w:r>
              <w:rPr>
                <w:rFonts w:hint="default" w:ascii="Times New Roman" w:hAnsi="Times New Roman" w:cs="Times New Roman"/>
                <w:color w:val="auto"/>
                <w:kern w:val="0"/>
                <w:sz w:val="21"/>
                <w:szCs w:val="21"/>
                <w:highlight w:val="none"/>
                <w:lang w:bidi="ar-SA"/>
              </w:rPr>
              <w:t>实际安装情况</w:t>
            </w:r>
          </w:p>
        </w:tc>
      </w:tr>
      <w:tr>
        <w:tblPrEx>
          <w:tblCellMar>
            <w:top w:w="0" w:type="dxa"/>
            <w:left w:w="108" w:type="dxa"/>
            <w:bottom w:w="0" w:type="dxa"/>
            <w:right w:w="108" w:type="dxa"/>
          </w:tblCellMar>
        </w:tblPrEx>
        <w:trPr>
          <w:trHeight w:val="469" w:hRule="atLeast"/>
          <w:jc w:val="center"/>
        </w:trPr>
        <w:tc>
          <w:tcPr>
            <w:tcW w:w="544" w:type="dxa"/>
            <w:tcBorders>
              <w:top w:val="nil"/>
              <w:left w:val="single" w:color="auto" w:sz="4" w:space="0"/>
              <w:bottom w:val="single" w:color="auto" w:sz="4" w:space="0"/>
              <w:right w:val="single" w:color="auto" w:sz="4" w:space="0"/>
            </w:tcBorders>
            <w:noWrap/>
            <w:vAlign w:val="center"/>
          </w:tcPr>
          <w:p>
            <w:pPr>
              <w:adjustRightInd w:val="0"/>
              <w:snapToGrid w:val="0"/>
              <w:jc w:val="center"/>
              <w:rPr>
                <w:rFonts w:hint="default" w:ascii="Times New Roman" w:hAnsi="Times New Roman" w:cs="Times New Roman"/>
                <w:color w:val="auto"/>
                <w:kern w:val="0"/>
                <w:szCs w:val="21"/>
                <w:highlight w:val="none"/>
                <w:lang w:bidi="ar-SA"/>
              </w:rPr>
            </w:pPr>
            <w:r>
              <w:rPr>
                <w:rFonts w:hint="default" w:ascii="Times New Roman" w:hAnsi="Times New Roman" w:cs="Times New Roman"/>
                <w:color w:val="auto"/>
                <w:kern w:val="0"/>
                <w:sz w:val="21"/>
                <w:szCs w:val="21"/>
                <w:highlight w:val="none"/>
                <w:lang w:bidi="ar-SA"/>
              </w:rPr>
              <w:t>1</w:t>
            </w:r>
          </w:p>
        </w:tc>
        <w:tc>
          <w:tcPr>
            <w:tcW w:w="1440" w:type="dxa"/>
            <w:tcBorders>
              <w:top w:val="nil"/>
              <w:left w:val="nil"/>
              <w:bottom w:val="single" w:color="auto" w:sz="4" w:space="0"/>
              <w:right w:val="single" w:color="auto" w:sz="4" w:space="0"/>
            </w:tcBorders>
            <w:noWrap/>
            <w:vAlign w:val="center"/>
          </w:tcPr>
          <w:p>
            <w:pPr>
              <w:adjustRightInd w:val="0"/>
              <w:snapToGrid w:val="0"/>
              <w:rPr>
                <w:rFonts w:hint="default" w:ascii="Times New Roman" w:hAnsi="Times New Roman" w:cs="Times New Roman"/>
                <w:color w:val="auto"/>
                <w:kern w:val="0"/>
                <w:szCs w:val="21"/>
                <w:highlight w:val="none"/>
                <w:lang w:bidi="ar-SA"/>
              </w:rPr>
            </w:pPr>
            <w:r>
              <w:rPr>
                <w:rFonts w:hint="default" w:ascii="Times New Roman" w:hAnsi="Times New Roman" w:cs="Times New Roman"/>
                <w:color w:val="auto"/>
                <w:kern w:val="0"/>
                <w:sz w:val="21"/>
                <w:szCs w:val="21"/>
                <w:highlight w:val="none"/>
                <w:lang w:bidi="ar-SA"/>
              </w:rPr>
              <w:t>规格型号</w:t>
            </w:r>
          </w:p>
        </w:tc>
        <w:tc>
          <w:tcPr>
            <w:tcW w:w="4476" w:type="dxa"/>
            <w:gridSpan w:val="2"/>
            <w:tcBorders>
              <w:top w:val="nil"/>
              <w:left w:val="nil"/>
              <w:bottom w:val="single" w:color="auto" w:sz="4" w:space="0"/>
              <w:right w:val="single" w:color="auto" w:sz="4" w:space="0"/>
            </w:tcBorders>
            <w:noWrap/>
            <w:vAlign w:val="center"/>
          </w:tcPr>
          <w:p>
            <w:pPr>
              <w:adjustRightInd w:val="0"/>
              <w:snapToGrid w:val="0"/>
              <w:rPr>
                <w:rFonts w:hint="default" w:ascii="Times New Roman" w:hAnsi="Times New Roman" w:cs="Times New Roman"/>
                <w:color w:val="auto"/>
                <w:kern w:val="0"/>
                <w:sz w:val="21"/>
                <w:szCs w:val="21"/>
                <w:highlight w:val="none"/>
                <w:lang w:bidi="ar-SA"/>
              </w:rPr>
            </w:pPr>
          </w:p>
        </w:tc>
        <w:tc>
          <w:tcPr>
            <w:tcW w:w="2518" w:type="dxa"/>
            <w:tcBorders>
              <w:top w:val="nil"/>
              <w:left w:val="single" w:color="auto" w:sz="4" w:space="0"/>
              <w:bottom w:val="single" w:color="auto" w:sz="4" w:space="0"/>
              <w:right w:val="single" w:color="auto" w:sz="4" w:space="0"/>
            </w:tcBorders>
            <w:noWrap/>
            <w:vAlign w:val="center"/>
          </w:tcPr>
          <w:p>
            <w:pPr>
              <w:adjustRightInd w:val="0"/>
              <w:snapToGrid w:val="0"/>
              <w:rPr>
                <w:rFonts w:hint="default" w:ascii="Times New Roman" w:hAnsi="Times New Roman" w:cs="Times New Roman"/>
                <w:color w:val="auto"/>
                <w:kern w:val="0"/>
                <w:sz w:val="21"/>
                <w:szCs w:val="21"/>
                <w:highlight w:val="none"/>
                <w:lang w:bidi="ar-SA"/>
              </w:rPr>
            </w:pPr>
          </w:p>
        </w:tc>
      </w:tr>
      <w:tr>
        <w:tblPrEx>
          <w:tblCellMar>
            <w:top w:w="0" w:type="dxa"/>
            <w:left w:w="108" w:type="dxa"/>
            <w:bottom w:w="0" w:type="dxa"/>
            <w:right w:w="108" w:type="dxa"/>
          </w:tblCellMar>
        </w:tblPrEx>
        <w:trPr>
          <w:trHeight w:val="548" w:hRule="atLeast"/>
          <w:jc w:val="center"/>
        </w:trPr>
        <w:tc>
          <w:tcPr>
            <w:tcW w:w="544" w:type="dxa"/>
            <w:tcBorders>
              <w:top w:val="nil"/>
              <w:left w:val="single" w:color="auto" w:sz="4" w:space="0"/>
              <w:bottom w:val="single" w:color="auto" w:sz="4" w:space="0"/>
              <w:right w:val="single" w:color="auto" w:sz="4" w:space="0"/>
            </w:tcBorders>
            <w:noWrap/>
            <w:vAlign w:val="center"/>
          </w:tcPr>
          <w:p>
            <w:pPr>
              <w:adjustRightInd w:val="0"/>
              <w:snapToGrid w:val="0"/>
              <w:jc w:val="center"/>
              <w:rPr>
                <w:rFonts w:hint="default" w:ascii="Times New Roman" w:hAnsi="Times New Roman" w:cs="Times New Roman"/>
                <w:color w:val="auto"/>
                <w:kern w:val="0"/>
                <w:szCs w:val="21"/>
                <w:highlight w:val="none"/>
                <w:lang w:bidi="ar-SA"/>
              </w:rPr>
            </w:pPr>
            <w:r>
              <w:rPr>
                <w:rFonts w:hint="default" w:ascii="Times New Roman" w:hAnsi="Times New Roman" w:cs="Times New Roman"/>
                <w:color w:val="auto"/>
                <w:kern w:val="0"/>
                <w:sz w:val="21"/>
                <w:szCs w:val="21"/>
                <w:highlight w:val="none"/>
                <w:lang w:bidi="ar-SA"/>
              </w:rPr>
              <w:t>2</w:t>
            </w:r>
          </w:p>
        </w:tc>
        <w:tc>
          <w:tcPr>
            <w:tcW w:w="1440" w:type="dxa"/>
            <w:tcBorders>
              <w:top w:val="nil"/>
              <w:left w:val="nil"/>
              <w:bottom w:val="single" w:color="auto" w:sz="4" w:space="0"/>
              <w:right w:val="single" w:color="auto" w:sz="4" w:space="0"/>
            </w:tcBorders>
            <w:noWrap/>
            <w:vAlign w:val="center"/>
          </w:tcPr>
          <w:p>
            <w:pPr>
              <w:adjustRightInd w:val="0"/>
              <w:snapToGrid w:val="0"/>
              <w:jc w:val="left"/>
              <w:rPr>
                <w:rFonts w:hint="default" w:ascii="Times New Roman" w:hAnsi="Times New Roman" w:cs="Times New Roman"/>
                <w:color w:val="auto"/>
                <w:kern w:val="0"/>
                <w:szCs w:val="21"/>
                <w:highlight w:val="none"/>
                <w:lang w:bidi="ar-SA"/>
              </w:rPr>
            </w:pPr>
            <w:r>
              <w:rPr>
                <w:rFonts w:hint="default" w:ascii="Times New Roman" w:hAnsi="Times New Roman" w:cs="Times New Roman"/>
                <w:color w:val="auto"/>
                <w:kern w:val="0"/>
                <w:sz w:val="21"/>
                <w:szCs w:val="21"/>
                <w:highlight w:val="none"/>
                <w:lang w:bidi="ar-SA"/>
              </w:rPr>
              <w:t>功率</w:t>
            </w:r>
          </w:p>
        </w:tc>
        <w:tc>
          <w:tcPr>
            <w:tcW w:w="4476" w:type="dxa"/>
            <w:gridSpan w:val="2"/>
            <w:tcBorders>
              <w:top w:val="nil"/>
              <w:left w:val="nil"/>
              <w:bottom w:val="single" w:color="auto" w:sz="4" w:space="0"/>
              <w:right w:val="single" w:color="auto" w:sz="4" w:space="0"/>
            </w:tcBorders>
            <w:noWrap/>
            <w:vAlign w:val="center"/>
          </w:tcPr>
          <w:p>
            <w:pPr>
              <w:adjustRightInd w:val="0"/>
              <w:snapToGrid w:val="0"/>
              <w:rPr>
                <w:rFonts w:hint="default" w:ascii="Times New Roman" w:hAnsi="Times New Roman" w:cs="Times New Roman"/>
                <w:color w:val="auto"/>
                <w:kern w:val="0"/>
                <w:sz w:val="21"/>
                <w:szCs w:val="21"/>
                <w:highlight w:val="none"/>
                <w:lang w:bidi="ar-SA"/>
              </w:rPr>
            </w:pPr>
          </w:p>
        </w:tc>
        <w:tc>
          <w:tcPr>
            <w:tcW w:w="2518" w:type="dxa"/>
            <w:tcBorders>
              <w:top w:val="nil"/>
              <w:left w:val="single" w:color="auto" w:sz="4" w:space="0"/>
              <w:bottom w:val="single" w:color="auto" w:sz="4" w:space="0"/>
              <w:right w:val="single" w:color="auto" w:sz="4" w:space="0"/>
            </w:tcBorders>
            <w:noWrap/>
            <w:vAlign w:val="center"/>
          </w:tcPr>
          <w:p>
            <w:pPr>
              <w:adjustRightInd w:val="0"/>
              <w:snapToGrid w:val="0"/>
              <w:rPr>
                <w:rFonts w:hint="default" w:ascii="Times New Roman" w:hAnsi="Times New Roman" w:cs="Times New Roman"/>
                <w:color w:val="auto"/>
                <w:kern w:val="0"/>
                <w:sz w:val="21"/>
                <w:szCs w:val="21"/>
                <w:highlight w:val="none"/>
                <w:lang w:bidi="ar-SA"/>
              </w:rPr>
            </w:pPr>
          </w:p>
        </w:tc>
      </w:tr>
      <w:tr>
        <w:tblPrEx>
          <w:tblCellMar>
            <w:top w:w="0" w:type="dxa"/>
            <w:left w:w="108" w:type="dxa"/>
            <w:bottom w:w="0" w:type="dxa"/>
            <w:right w:w="108" w:type="dxa"/>
          </w:tblCellMar>
        </w:tblPrEx>
        <w:trPr>
          <w:trHeight w:val="469" w:hRule="atLeast"/>
          <w:jc w:val="center"/>
        </w:trPr>
        <w:tc>
          <w:tcPr>
            <w:tcW w:w="544" w:type="dxa"/>
            <w:tcBorders>
              <w:top w:val="nil"/>
              <w:left w:val="single" w:color="auto" w:sz="4" w:space="0"/>
              <w:bottom w:val="single" w:color="auto" w:sz="4" w:space="0"/>
              <w:right w:val="single" w:color="auto" w:sz="4" w:space="0"/>
            </w:tcBorders>
            <w:noWrap/>
            <w:vAlign w:val="center"/>
          </w:tcPr>
          <w:p>
            <w:pPr>
              <w:adjustRightInd w:val="0"/>
              <w:snapToGrid w:val="0"/>
              <w:jc w:val="center"/>
              <w:rPr>
                <w:rFonts w:hint="default" w:ascii="Times New Roman" w:hAnsi="Times New Roman" w:cs="Times New Roman"/>
                <w:color w:val="auto"/>
                <w:kern w:val="0"/>
                <w:szCs w:val="21"/>
                <w:highlight w:val="none"/>
                <w:lang w:bidi="ar-SA"/>
              </w:rPr>
            </w:pPr>
            <w:r>
              <w:rPr>
                <w:rFonts w:hint="default" w:ascii="Times New Roman" w:hAnsi="Times New Roman" w:cs="Times New Roman"/>
                <w:color w:val="auto"/>
                <w:kern w:val="0"/>
                <w:sz w:val="21"/>
                <w:szCs w:val="21"/>
                <w:highlight w:val="none"/>
                <w:lang w:bidi="ar-SA"/>
              </w:rPr>
              <w:t>3</w:t>
            </w:r>
          </w:p>
        </w:tc>
        <w:tc>
          <w:tcPr>
            <w:tcW w:w="1440" w:type="dxa"/>
            <w:tcBorders>
              <w:top w:val="nil"/>
              <w:left w:val="nil"/>
              <w:bottom w:val="single" w:color="auto" w:sz="4" w:space="0"/>
              <w:right w:val="single" w:color="auto" w:sz="4" w:space="0"/>
            </w:tcBorders>
            <w:noWrap/>
            <w:vAlign w:val="center"/>
          </w:tcPr>
          <w:p>
            <w:pPr>
              <w:adjustRightInd w:val="0"/>
              <w:snapToGrid w:val="0"/>
              <w:jc w:val="left"/>
              <w:rPr>
                <w:rFonts w:hint="default" w:ascii="Times New Roman" w:hAnsi="Times New Roman" w:cs="Times New Roman"/>
                <w:color w:val="auto"/>
                <w:kern w:val="0"/>
                <w:sz w:val="21"/>
                <w:szCs w:val="21"/>
                <w:highlight w:val="none"/>
                <w:lang w:bidi="ar-SA"/>
              </w:rPr>
            </w:pPr>
            <w:r>
              <w:rPr>
                <w:rFonts w:hint="default" w:ascii="Times New Roman" w:hAnsi="Times New Roman" w:cs="Times New Roman"/>
                <w:color w:val="auto"/>
                <w:kern w:val="0"/>
                <w:sz w:val="21"/>
                <w:szCs w:val="21"/>
                <w:highlight w:val="none"/>
                <w:lang w:bidi="ar-SA"/>
              </w:rPr>
              <w:t>容积</w:t>
            </w:r>
          </w:p>
        </w:tc>
        <w:tc>
          <w:tcPr>
            <w:tcW w:w="4476" w:type="dxa"/>
            <w:gridSpan w:val="2"/>
            <w:tcBorders>
              <w:top w:val="nil"/>
              <w:left w:val="nil"/>
              <w:bottom w:val="single" w:color="auto" w:sz="4" w:space="0"/>
              <w:right w:val="single" w:color="auto" w:sz="4" w:space="0"/>
            </w:tcBorders>
            <w:noWrap/>
            <w:vAlign w:val="center"/>
          </w:tcPr>
          <w:p>
            <w:pPr>
              <w:adjustRightInd w:val="0"/>
              <w:snapToGrid w:val="0"/>
              <w:rPr>
                <w:rFonts w:hint="default" w:ascii="Times New Roman" w:hAnsi="Times New Roman" w:cs="Times New Roman"/>
                <w:color w:val="auto"/>
                <w:kern w:val="0"/>
                <w:sz w:val="21"/>
                <w:szCs w:val="21"/>
                <w:highlight w:val="none"/>
                <w:lang w:bidi="ar-SA"/>
              </w:rPr>
            </w:pPr>
          </w:p>
        </w:tc>
        <w:tc>
          <w:tcPr>
            <w:tcW w:w="2518" w:type="dxa"/>
            <w:tcBorders>
              <w:top w:val="nil"/>
              <w:left w:val="single" w:color="auto" w:sz="4" w:space="0"/>
              <w:bottom w:val="single" w:color="auto" w:sz="4" w:space="0"/>
              <w:right w:val="single" w:color="auto" w:sz="4" w:space="0"/>
            </w:tcBorders>
            <w:noWrap/>
            <w:vAlign w:val="center"/>
          </w:tcPr>
          <w:p>
            <w:pPr>
              <w:adjustRightInd w:val="0"/>
              <w:snapToGrid w:val="0"/>
              <w:rPr>
                <w:rFonts w:hint="default" w:ascii="Times New Roman" w:hAnsi="Times New Roman" w:cs="Times New Roman"/>
                <w:color w:val="auto"/>
                <w:kern w:val="0"/>
                <w:sz w:val="21"/>
                <w:szCs w:val="21"/>
                <w:highlight w:val="none"/>
                <w:lang w:bidi="ar-SA"/>
              </w:rPr>
            </w:pPr>
          </w:p>
        </w:tc>
      </w:tr>
      <w:tr>
        <w:tblPrEx>
          <w:tblCellMar>
            <w:top w:w="0" w:type="dxa"/>
            <w:left w:w="108" w:type="dxa"/>
            <w:bottom w:w="0" w:type="dxa"/>
            <w:right w:w="108" w:type="dxa"/>
          </w:tblCellMar>
        </w:tblPrEx>
        <w:trPr>
          <w:trHeight w:val="548" w:hRule="atLeast"/>
          <w:jc w:val="center"/>
        </w:trPr>
        <w:tc>
          <w:tcPr>
            <w:tcW w:w="544" w:type="dxa"/>
            <w:tcBorders>
              <w:top w:val="nil"/>
              <w:left w:val="single" w:color="auto" w:sz="4" w:space="0"/>
              <w:bottom w:val="single" w:color="auto" w:sz="4" w:space="0"/>
              <w:right w:val="single" w:color="auto" w:sz="4" w:space="0"/>
            </w:tcBorders>
            <w:noWrap/>
            <w:vAlign w:val="center"/>
          </w:tcPr>
          <w:p>
            <w:pPr>
              <w:adjustRightInd w:val="0"/>
              <w:snapToGrid w:val="0"/>
              <w:jc w:val="center"/>
              <w:rPr>
                <w:rFonts w:hint="default" w:ascii="Times New Roman" w:hAnsi="Times New Roman" w:cs="Times New Roman"/>
                <w:color w:val="auto"/>
                <w:kern w:val="0"/>
                <w:szCs w:val="21"/>
                <w:highlight w:val="none"/>
                <w:lang w:bidi="ar-SA"/>
              </w:rPr>
            </w:pPr>
            <w:r>
              <w:rPr>
                <w:rFonts w:hint="default" w:ascii="Times New Roman" w:hAnsi="Times New Roman" w:cs="Times New Roman"/>
                <w:color w:val="auto"/>
                <w:kern w:val="0"/>
                <w:sz w:val="21"/>
                <w:szCs w:val="21"/>
                <w:highlight w:val="none"/>
                <w:lang w:bidi="ar-SA"/>
              </w:rPr>
              <w:t>4</w:t>
            </w:r>
          </w:p>
        </w:tc>
        <w:tc>
          <w:tcPr>
            <w:tcW w:w="1440" w:type="dxa"/>
            <w:tcBorders>
              <w:top w:val="nil"/>
              <w:left w:val="nil"/>
              <w:bottom w:val="single" w:color="auto" w:sz="4" w:space="0"/>
              <w:right w:val="single" w:color="auto" w:sz="4" w:space="0"/>
            </w:tcBorders>
            <w:noWrap/>
            <w:vAlign w:val="center"/>
          </w:tcPr>
          <w:p>
            <w:pPr>
              <w:adjustRightInd w:val="0"/>
              <w:snapToGrid w:val="0"/>
              <w:jc w:val="left"/>
              <w:rPr>
                <w:rFonts w:hint="default" w:ascii="Times New Roman" w:hAnsi="Times New Roman" w:cs="Times New Roman"/>
                <w:color w:val="auto"/>
                <w:kern w:val="0"/>
                <w:sz w:val="21"/>
                <w:szCs w:val="21"/>
                <w:highlight w:val="none"/>
                <w:lang w:bidi="ar-SA"/>
              </w:rPr>
            </w:pPr>
            <w:r>
              <w:rPr>
                <w:rFonts w:hint="default" w:ascii="Times New Roman" w:hAnsi="Times New Roman" w:cs="Times New Roman"/>
                <w:color w:val="auto"/>
                <w:kern w:val="0"/>
                <w:sz w:val="21"/>
                <w:szCs w:val="21"/>
                <w:highlight w:val="none"/>
                <w:lang w:bidi="ar-SA"/>
              </w:rPr>
              <w:t>……</w:t>
            </w:r>
          </w:p>
        </w:tc>
        <w:tc>
          <w:tcPr>
            <w:tcW w:w="4476" w:type="dxa"/>
            <w:gridSpan w:val="2"/>
            <w:tcBorders>
              <w:top w:val="nil"/>
              <w:left w:val="nil"/>
              <w:bottom w:val="single" w:color="auto" w:sz="4" w:space="0"/>
              <w:right w:val="single" w:color="auto" w:sz="4" w:space="0"/>
            </w:tcBorders>
            <w:noWrap/>
            <w:vAlign w:val="center"/>
          </w:tcPr>
          <w:p>
            <w:pPr>
              <w:adjustRightInd w:val="0"/>
              <w:snapToGrid w:val="0"/>
              <w:rPr>
                <w:rFonts w:hint="default" w:ascii="Times New Roman" w:hAnsi="Times New Roman" w:cs="Times New Roman"/>
                <w:color w:val="auto"/>
                <w:kern w:val="0"/>
                <w:sz w:val="21"/>
                <w:szCs w:val="21"/>
                <w:highlight w:val="none"/>
                <w:lang w:bidi="ar-SA"/>
              </w:rPr>
            </w:pPr>
          </w:p>
        </w:tc>
        <w:tc>
          <w:tcPr>
            <w:tcW w:w="2518" w:type="dxa"/>
            <w:tcBorders>
              <w:top w:val="nil"/>
              <w:left w:val="single" w:color="auto" w:sz="4" w:space="0"/>
              <w:bottom w:val="single" w:color="auto" w:sz="4" w:space="0"/>
              <w:right w:val="single" w:color="auto" w:sz="4" w:space="0"/>
            </w:tcBorders>
            <w:noWrap/>
            <w:vAlign w:val="center"/>
          </w:tcPr>
          <w:p>
            <w:pPr>
              <w:adjustRightInd w:val="0"/>
              <w:snapToGrid w:val="0"/>
              <w:rPr>
                <w:rFonts w:hint="default" w:ascii="Times New Roman" w:hAnsi="Times New Roman" w:cs="Times New Roman"/>
                <w:color w:val="auto"/>
                <w:kern w:val="0"/>
                <w:sz w:val="21"/>
                <w:szCs w:val="21"/>
                <w:highlight w:val="none"/>
                <w:lang w:bidi="ar-SA"/>
              </w:rPr>
            </w:pPr>
          </w:p>
        </w:tc>
      </w:tr>
      <w:tr>
        <w:tblPrEx>
          <w:tblCellMar>
            <w:top w:w="0" w:type="dxa"/>
            <w:left w:w="108" w:type="dxa"/>
            <w:bottom w:w="0" w:type="dxa"/>
            <w:right w:w="108" w:type="dxa"/>
          </w:tblCellMar>
        </w:tblPrEx>
        <w:trPr>
          <w:trHeight w:val="484" w:hRule="atLeast"/>
          <w:jc w:val="center"/>
        </w:trPr>
        <w:tc>
          <w:tcPr>
            <w:tcW w:w="1984" w:type="dxa"/>
            <w:gridSpan w:val="2"/>
            <w:tcBorders>
              <w:top w:val="nil"/>
              <w:left w:val="single" w:color="auto" w:sz="4" w:space="0"/>
              <w:bottom w:val="single" w:color="auto" w:sz="4" w:space="0"/>
              <w:right w:val="single" w:color="auto" w:sz="4" w:space="0"/>
            </w:tcBorders>
            <w:noWrap/>
            <w:vAlign w:val="center"/>
          </w:tcPr>
          <w:p>
            <w:pPr>
              <w:adjustRightInd w:val="0"/>
              <w:snapToGrid w:val="0"/>
              <w:jc w:val="center"/>
              <w:rPr>
                <w:rFonts w:hint="default" w:ascii="Times New Roman" w:hAnsi="Times New Roman" w:cs="Times New Roman"/>
                <w:color w:val="auto"/>
                <w:kern w:val="0"/>
                <w:szCs w:val="21"/>
                <w:highlight w:val="none"/>
                <w:lang w:bidi="ar-SA"/>
              </w:rPr>
            </w:pPr>
            <w:r>
              <w:rPr>
                <w:rFonts w:hint="default" w:ascii="Times New Roman" w:hAnsi="Times New Roman" w:cs="Times New Roman"/>
                <w:color w:val="auto"/>
                <w:kern w:val="0"/>
                <w:sz w:val="21"/>
                <w:szCs w:val="21"/>
                <w:highlight w:val="none"/>
                <w:lang w:bidi="ar-SA"/>
              </w:rPr>
              <w:t>说明</w:t>
            </w:r>
          </w:p>
        </w:tc>
        <w:tc>
          <w:tcPr>
            <w:tcW w:w="6994" w:type="dxa"/>
            <w:gridSpan w:val="3"/>
            <w:tcBorders>
              <w:top w:val="nil"/>
              <w:left w:val="nil"/>
              <w:bottom w:val="single" w:color="auto" w:sz="4" w:space="0"/>
              <w:right w:val="single" w:color="auto" w:sz="4" w:space="0"/>
            </w:tcBorders>
            <w:noWrap/>
            <w:vAlign w:val="center"/>
          </w:tcPr>
          <w:p>
            <w:pPr>
              <w:adjustRightInd w:val="0"/>
              <w:snapToGrid w:val="0"/>
              <w:jc w:val="center"/>
              <w:rPr>
                <w:rFonts w:hint="default" w:ascii="Times New Roman" w:hAnsi="Times New Roman" w:cs="Times New Roman"/>
                <w:color w:val="auto"/>
                <w:kern w:val="0"/>
                <w:sz w:val="21"/>
                <w:szCs w:val="21"/>
                <w:highlight w:val="none"/>
                <w:lang w:bidi="ar-SA"/>
              </w:rPr>
            </w:pPr>
            <w:r>
              <w:rPr>
                <w:rFonts w:hint="default" w:ascii="Times New Roman" w:hAnsi="Times New Roman" w:cs="Times New Roman"/>
                <w:color w:val="auto"/>
                <w:kern w:val="0"/>
                <w:sz w:val="21"/>
                <w:szCs w:val="21"/>
                <w:highlight w:val="none"/>
                <w:lang w:bidi="ar-SA"/>
              </w:rPr>
              <w:t>按补贴机具补贴额一览表及产品规定的配置、参数等验收</w:t>
            </w:r>
          </w:p>
        </w:tc>
      </w:tr>
      <w:tr>
        <w:tblPrEx>
          <w:tblCellMar>
            <w:top w:w="0" w:type="dxa"/>
            <w:left w:w="108" w:type="dxa"/>
            <w:bottom w:w="0" w:type="dxa"/>
            <w:right w:w="108" w:type="dxa"/>
          </w:tblCellMar>
        </w:tblPrEx>
        <w:trPr>
          <w:trHeight w:val="878" w:hRule="exact"/>
          <w:jc w:val="center"/>
        </w:trPr>
        <w:tc>
          <w:tcPr>
            <w:tcW w:w="1984" w:type="dxa"/>
            <w:gridSpan w:val="2"/>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80" w:lineRule="exact"/>
              <w:jc w:val="center"/>
              <w:rPr>
                <w:rFonts w:hint="default" w:ascii="Times New Roman" w:hAnsi="Times New Roman" w:cs="Times New Roman"/>
                <w:color w:val="auto"/>
                <w:kern w:val="0"/>
                <w:szCs w:val="21"/>
                <w:highlight w:val="none"/>
                <w:lang w:bidi="ar-SA"/>
              </w:rPr>
            </w:pPr>
            <w:r>
              <w:rPr>
                <w:rFonts w:hint="default" w:ascii="Times New Roman" w:hAnsi="Times New Roman" w:cs="Times New Roman"/>
                <w:color w:val="auto"/>
                <w:kern w:val="0"/>
                <w:sz w:val="21"/>
                <w:szCs w:val="21"/>
                <w:highlight w:val="none"/>
                <w:lang w:bidi="ar-SA"/>
              </w:rPr>
              <w:t>供货单位签字盖章（日期）：</w:t>
            </w:r>
          </w:p>
        </w:tc>
        <w:tc>
          <w:tcPr>
            <w:tcW w:w="3253" w:type="dxa"/>
            <w:tcBorders>
              <w:top w:val="nil"/>
              <w:left w:val="single" w:color="auto" w:sz="4" w:space="0"/>
              <w:bottom w:val="nil"/>
              <w:right w:val="single" w:color="auto" w:sz="4" w:space="0"/>
            </w:tcBorders>
            <w:noWrap/>
            <w:vAlign w:val="center"/>
          </w:tcPr>
          <w:p>
            <w:pPr>
              <w:adjustRightInd w:val="0"/>
              <w:snapToGrid w:val="0"/>
              <w:spacing w:line="280" w:lineRule="exact"/>
              <w:jc w:val="left"/>
              <w:rPr>
                <w:rFonts w:hint="default" w:ascii="Times New Roman" w:hAnsi="Times New Roman" w:cs="Times New Roman"/>
                <w:color w:val="auto"/>
                <w:kern w:val="0"/>
                <w:sz w:val="21"/>
                <w:szCs w:val="21"/>
                <w:highlight w:val="none"/>
                <w:lang w:bidi="ar-SA"/>
              </w:rPr>
            </w:pPr>
          </w:p>
        </w:tc>
        <w:tc>
          <w:tcPr>
            <w:tcW w:w="1223" w:type="dxa"/>
            <w:tcBorders>
              <w:top w:val="nil"/>
              <w:left w:val="single" w:color="auto" w:sz="4" w:space="0"/>
              <w:bottom w:val="nil"/>
              <w:right w:val="single" w:color="auto" w:sz="4" w:space="0"/>
            </w:tcBorders>
            <w:noWrap/>
            <w:vAlign w:val="center"/>
          </w:tcPr>
          <w:p>
            <w:pPr>
              <w:adjustRightInd w:val="0"/>
              <w:snapToGrid w:val="0"/>
              <w:spacing w:line="280" w:lineRule="exact"/>
              <w:jc w:val="center"/>
              <w:rPr>
                <w:rFonts w:hint="default" w:ascii="Times New Roman" w:hAnsi="Times New Roman" w:cs="Times New Roman"/>
                <w:color w:val="auto"/>
                <w:kern w:val="0"/>
                <w:sz w:val="21"/>
                <w:szCs w:val="21"/>
                <w:highlight w:val="none"/>
                <w:lang w:bidi="ar-SA"/>
              </w:rPr>
            </w:pPr>
            <w:r>
              <w:rPr>
                <w:rFonts w:hint="default" w:ascii="Times New Roman" w:hAnsi="Times New Roman" w:cs="Times New Roman"/>
                <w:color w:val="auto"/>
                <w:kern w:val="0"/>
                <w:sz w:val="21"/>
                <w:szCs w:val="21"/>
                <w:highlight w:val="none"/>
                <w:lang w:bidi="ar-SA"/>
              </w:rPr>
              <w:t>购机者</w:t>
            </w:r>
          </w:p>
          <w:p>
            <w:pPr>
              <w:adjustRightInd w:val="0"/>
              <w:snapToGrid w:val="0"/>
              <w:spacing w:line="280" w:lineRule="exact"/>
              <w:jc w:val="center"/>
              <w:rPr>
                <w:rFonts w:hint="default" w:ascii="Times New Roman" w:hAnsi="Times New Roman" w:cs="Times New Roman"/>
                <w:color w:val="auto"/>
                <w:kern w:val="0"/>
                <w:sz w:val="21"/>
                <w:szCs w:val="21"/>
                <w:highlight w:val="none"/>
                <w:lang w:bidi="ar-SA"/>
              </w:rPr>
            </w:pPr>
            <w:r>
              <w:rPr>
                <w:rFonts w:hint="default" w:ascii="Times New Roman" w:hAnsi="Times New Roman" w:cs="Times New Roman"/>
                <w:color w:val="auto"/>
                <w:kern w:val="0"/>
                <w:sz w:val="21"/>
                <w:szCs w:val="21"/>
                <w:highlight w:val="none"/>
                <w:lang w:bidi="ar-SA"/>
              </w:rPr>
              <w:t>签字</w:t>
            </w:r>
          </w:p>
        </w:tc>
        <w:tc>
          <w:tcPr>
            <w:tcW w:w="2518" w:type="dxa"/>
            <w:tcBorders>
              <w:top w:val="nil"/>
              <w:left w:val="single" w:color="auto" w:sz="4" w:space="0"/>
              <w:bottom w:val="nil"/>
              <w:right w:val="single" w:color="auto" w:sz="4" w:space="0"/>
            </w:tcBorders>
            <w:noWrap/>
            <w:vAlign w:val="center"/>
          </w:tcPr>
          <w:p>
            <w:pPr>
              <w:adjustRightInd w:val="0"/>
              <w:snapToGrid w:val="0"/>
              <w:spacing w:line="280" w:lineRule="exact"/>
              <w:jc w:val="left"/>
              <w:rPr>
                <w:rFonts w:hint="default" w:ascii="Times New Roman" w:hAnsi="Times New Roman" w:cs="Times New Roman"/>
                <w:color w:val="auto"/>
                <w:kern w:val="0"/>
                <w:sz w:val="21"/>
                <w:szCs w:val="21"/>
                <w:highlight w:val="none"/>
                <w:lang w:bidi="ar-SA"/>
              </w:rPr>
            </w:pPr>
          </w:p>
        </w:tc>
      </w:tr>
      <w:tr>
        <w:tblPrEx>
          <w:tblCellMar>
            <w:top w:w="0" w:type="dxa"/>
            <w:left w:w="108" w:type="dxa"/>
            <w:bottom w:w="0" w:type="dxa"/>
            <w:right w:w="108" w:type="dxa"/>
          </w:tblCellMar>
        </w:tblPrEx>
        <w:trPr>
          <w:trHeight w:val="887" w:hRule="exact"/>
          <w:jc w:val="center"/>
        </w:trPr>
        <w:tc>
          <w:tcPr>
            <w:tcW w:w="1984" w:type="dxa"/>
            <w:gridSpan w:val="2"/>
            <w:tcBorders>
              <w:top w:val="single" w:color="auto" w:sz="4" w:space="0"/>
              <w:left w:val="single" w:color="auto" w:sz="4" w:space="0"/>
              <w:bottom w:val="single" w:color="auto" w:sz="4" w:space="0"/>
              <w:right w:val="single" w:color="auto" w:sz="4" w:space="0"/>
            </w:tcBorders>
            <w:noWrap/>
            <w:vAlign w:val="center"/>
          </w:tcPr>
          <w:p>
            <w:pPr>
              <w:adjustRightInd w:val="0"/>
              <w:snapToGrid w:val="0"/>
              <w:spacing w:line="280" w:lineRule="exact"/>
              <w:jc w:val="center"/>
              <w:rPr>
                <w:rFonts w:hint="default" w:ascii="Times New Roman" w:hAnsi="Times New Roman" w:cs="Times New Roman"/>
                <w:color w:val="auto"/>
                <w:kern w:val="0"/>
                <w:szCs w:val="21"/>
                <w:highlight w:val="none"/>
                <w:lang w:bidi="ar-SA"/>
              </w:rPr>
            </w:pPr>
            <w:r>
              <w:rPr>
                <w:rFonts w:hint="default" w:ascii="Times New Roman" w:hAnsi="Times New Roman" w:cs="Times New Roman"/>
                <w:color w:val="auto"/>
                <w:kern w:val="0"/>
                <w:sz w:val="21"/>
                <w:szCs w:val="21"/>
                <w:highlight w:val="none"/>
                <w:lang w:bidi="ar-SA"/>
              </w:rPr>
              <w:t>乡镇农业农村主管部门形式核实意见</w:t>
            </w:r>
          </w:p>
          <w:p>
            <w:pPr>
              <w:adjustRightInd w:val="0"/>
              <w:snapToGrid w:val="0"/>
              <w:spacing w:line="280" w:lineRule="exact"/>
              <w:jc w:val="center"/>
              <w:rPr>
                <w:rFonts w:hint="default" w:ascii="Times New Roman" w:hAnsi="Times New Roman" w:cs="Times New Roman"/>
                <w:color w:val="auto"/>
                <w:kern w:val="0"/>
                <w:szCs w:val="21"/>
                <w:highlight w:val="none"/>
                <w:lang w:bidi="ar-SA"/>
              </w:rPr>
            </w:pPr>
            <w:r>
              <w:rPr>
                <w:rFonts w:hint="default" w:ascii="Times New Roman" w:hAnsi="Times New Roman" w:cs="Times New Roman"/>
                <w:color w:val="auto"/>
                <w:kern w:val="0"/>
                <w:sz w:val="21"/>
                <w:szCs w:val="21"/>
                <w:highlight w:val="none"/>
                <w:lang w:bidi="ar-SA"/>
              </w:rPr>
              <w:t>（日期）：</w:t>
            </w:r>
          </w:p>
        </w:tc>
        <w:tc>
          <w:tcPr>
            <w:tcW w:w="6994" w:type="dxa"/>
            <w:gridSpan w:val="3"/>
            <w:tcBorders>
              <w:top w:val="single" w:color="auto" w:sz="4" w:space="0"/>
              <w:left w:val="nil"/>
              <w:bottom w:val="single" w:color="auto" w:sz="4" w:space="0"/>
              <w:right w:val="single" w:color="auto" w:sz="4" w:space="0"/>
            </w:tcBorders>
            <w:noWrap/>
            <w:vAlign w:val="center"/>
          </w:tcPr>
          <w:p>
            <w:pPr>
              <w:adjustRightInd w:val="0"/>
              <w:snapToGrid w:val="0"/>
              <w:spacing w:line="280" w:lineRule="exact"/>
              <w:rPr>
                <w:rFonts w:hint="default" w:ascii="Times New Roman" w:hAnsi="Times New Roman" w:cs="Times New Roman"/>
                <w:color w:val="auto"/>
                <w:kern w:val="0"/>
                <w:sz w:val="21"/>
                <w:szCs w:val="21"/>
                <w:highlight w:val="none"/>
                <w:lang w:bidi="ar-SA"/>
              </w:rPr>
            </w:pPr>
            <w:r>
              <w:rPr>
                <w:rFonts w:hint="default" w:ascii="Times New Roman" w:hAnsi="Times New Roman" w:cs="Times New Roman"/>
                <w:color w:val="auto"/>
                <w:kern w:val="0"/>
                <w:sz w:val="21"/>
                <w:szCs w:val="21"/>
                <w:highlight w:val="none"/>
                <w:lang w:bidi="ar-SA"/>
              </w:rPr>
              <w:t>合格（   ）   不合格（   ）    签字盖章</w:t>
            </w:r>
          </w:p>
        </w:tc>
      </w:tr>
    </w:tbl>
    <w:p>
      <w:pPr>
        <w:adjustRightInd w:val="0"/>
        <w:snapToGrid w:val="0"/>
        <w:spacing w:line="480" w:lineRule="exact"/>
        <w:jc w:val="left"/>
        <w:rPr>
          <w:rFonts w:hint="default" w:ascii="Times New Roman" w:hAnsi="Times New Roman" w:cs="Times New Roman"/>
          <w:color w:val="auto"/>
          <w:highlight w:val="none"/>
          <w:lang w:bidi="ar-SA"/>
        </w:rPr>
      </w:pPr>
      <w:r>
        <w:rPr>
          <w:rFonts w:hint="default" w:ascii="Times New Roman" w:hAnsi="Times New Roman" w:cs="Times New Roman"/>
          <w:b/>
          <w:color w:val="auto"/>
          <w:kern w:val="0"/>
          <w:sz w:val="24"/>
          <w:highlight w:val="none"/>
          <w:lang w:bidi="ar-SA"/>
        </w:rPr>
        <w:t>注：</w:t>
      </w:r>
      <w:r>
        <w:rPr>
          <w:rFonts w:hint="default" w:ascii="Times New Roman" w:hAnsi="Times New Roman" w:cs="Times New Roman"/>
          <w:color w:val="auto"/>
          <w:kern w:val="0"/>
          <w:sz w:val="24"/>
          <w:highlight w:val="none"/>
          <w:lang w:bidi="ar-SA"/>
        </w:rPr>
        <w:t>县农业农村局对补贴机具安装确认事项提供必要的技术支持。对专业要求较高的补贴产品可委托社会专业机构核实并经县农业农村局确认。</w:t>
      </w:r>
    </w:p>
    <w:p>
      <w:pPr>
        <w:rPr>
          <w:rFonts w:hint="eastAsia" w:ascii="仿宋_GB2312" w:hAnsi="仿宋_GB2312" w:eastAsia="仿宋_GB2312" w:cs="仿宋_GB2312"/>
          <w:color w:val="auto"/>
          <w:kern w:val="0"/>
          <w:sz w:val="24"/>
          <w:lang w:eastAsia="zh-CN"/>
        </w:rPr>
      </w:pPr>
    </w:p>
    <w:p>
      <w:pPr>
        <w:adjustRightInd w:val="0"/>
        <w:snapToGrid w:val="0"/>
        <w:spacing w:line="560" w:lineRule="exact"/>
        <w:rPr>
          <w:rFonts w:hint="eastAsia" w:ascii="仿宋_GB2312" w:hAnsi="仿宋_GB2312" w:eastAsia="仿宋_GB2312" w:cs="仿宋_GB2312"/>
          <w:color w:val="auto"/>
          <w:sz w:val="30"/>
          <w:szCs w:val="30"/>
        </w:rPr>
      </w:pPr>
    </w:p>
    <w:p>
      <w:pPr>
        <w:adjustRightInd w:val="0"/>
        <w:snapToGrid w:val="0"/>
        <w:spacing w:line="560" w:lineRule="exact"/>
        <w:rPr>
          <w:rFonts w:hint="eastAsia" w:ascii="仿宋_GB2312" w:hAnsi="仿宋_GB2312" w:eastAsia="仿宋_GB2312" w:cs="仿宋_GB2312"/>
          <w:color w:val="auto"/>
          <w:sz w:val="30"/>
          <w:szCs w:val="30"/>
        </w:rPr>
      </w:pPr>
    </w:p>
    <w:p>
      <w:pPr>
        <w:adjustRightInd w:val="0"/>
        <w:snapToGrid w:val="0"/>
        <w:spacing w:line="480" w:lineRule="exact"/>
        <w:jc w:val="left"/>
        <w:rPr>
          <w:rFonts w:hint="eastAsia" w:ascii="仿宋_GB2312" w:hAnsi="仿宋_GB2312" w:eastAsia="仿宋_GB2312" w:cs="仿宋_GB2312"/>
          <w:color w:val="auto"/>
          <w:kern w:val="0"/>
          <w:sz w:val="24"/>
        </w:rPr>
      </w:pPr>
    </w:p>
    <w:sectPr>
      <w:headerReference r:id="rId3" w:type="default"/>
      <w:footerReference r:id="rId4" w:type="default"/>
      <w:pgSz w:w="11906" w:h="16838"/>
      <w:pgMar w:top="1984" w:right="1701" w:bottom="1701" w:left="1701" w:header="851" w:footer="1531" w:gutter="0"/>
      <w:pgNumType w:fmt="decimal" w:start="2"/>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小标宋_GBK">
    <w:altName w:val="Arial Unicode MS"/>
    <w:panose1 w:val="03000509000000000000"/>
    <w:charset w:val="86"/>
    <w:family w:val="script"/>
    <w:pitch w:val="default"/>
    <w:sig w:usb0="00000000" w:usb1="00000000" w:usb2="00000000" w:usb3="00000000" w:csb0="00040000" w:csb1="00000000"/>
  </w:font>
  <w:font w:name="方正黑体_GBK">
    <w:altName w:val="Arial Unicode MS"/>
    <w:panose1 w:val="03000509000000000000"/>
    <w:charset w:val="86"/>
    <w:family w:val="script"/>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楷体_GBK">
    <w:altName w:val="Arial Unicode MS"/>
    <w:panose1 w:val="03000509000000000000"/>
    <w:charset w:val="86"/>
    <w:family w:val="script"/>
    <w:pitch w:val="default"/>
    <w:sig w:usb0="00000000" w:usb1="00000000" w:usb2="00000000" w:usb3="00000000" w:csb0="00040000" w:csb1="00000000"/>
  </w:font>
  <w:font w:name="方正仿宋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9"/>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1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GvOMMkBAACaAwAADgAAAGRycy9lMm9Eb2MueG1srVPNjtMwEL4j8Q6W&#10;79Rph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pt6IoSxy0O/PL92+XHr8vPr2T5&#10;OuvTB6gx7SFgYhru/IBbM/sBnZn2oKLNXyREMI7qnq/qyiERkR+tV+t1hSGBsfmC+OzxeYiQ3kpv&#10;STYaGnF8RVV+eg9pTJ1TcjXn77UxZYTG/eVAzOxhufexx2ylYT9MhPa+PSOfHiffUIeLTol551DY&#10;vCSzEWdjPxvHEPWhK1uU60G4PSZsovSWK4ywU2EcWWE3rVfeiT/vJevxl9r+B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BUa84wyQEAAJoDAAAOAAAAAAAAAAEAIAAAAB4BAABkcnMvZTJvRG9j&#10;LnhtbFBLBQYAAAAABgAGAFkBAABZBQAAAAA=&#10;">
              <v:fill on="f" focussize="0,0"/>
              <v:stroke on="f"/>
              <v:imagedata o:title=""/>
              <o:lock v:ext="edit" aspectratio="f"/>
              <v:textbox inset="0mm,0mm,0mm,0mm" style="mso-fit-shape-to-text:t;">
                <w:txbxContent>
                  <w:p>
                    <w:pPr>
                      <w:pStyle w:val="9"/>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15"/>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15"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IHhda3OAQAAlwMAAA4AAABkcnMvZTJvRG9jLnhtbK1TzY7TMBC+I/EO&#10;lu/UzbJlV1HTFahahIQAaeEBXMduLPlPHrdJXwDegBMX7jxXn4Oxk3bZ3cseuDiT8eSb7/tmsrwZ&#10;rCF7GUF719BqNqdEOuFb7bYN/fb19tU1JZC4a7nxTjb0IIHerF6+WPahlhe+86aVkSCIg7oPDe1S&#10;CjVjIDppOcx8kA4vlY+WJ3yNW9ZG3iO6NexiPn/Deh/bEL2QAJhdj5d0QozPAfRKaSHXXuysdGlE&#10;jdLwhJKg0wHoqrBVSor0WSmQiZiGotJUTmyC8SafbLXk9Tby0GkxUeDPofBIk+XaYdMz1JonTnZR&#10;P4GyWkQPXqWZ8JaNQoojqKKaP/LmruNBFi1oNYSz6fD/YMWn/ZdIdIubQInjFgd+/Pnj+OvP8fd3&#10;Ui2yP32AGsvuAham4Z0fcu2UB0xm2YOKNj9REMF7dPdwdlcOiQhMLq6urheUCLypXleXlwWc3X8b&#10;IqT30luSg4ZGnF2xlO8/QsJ+WHoqya2cv9XGlPkZ9yCBhTnDMvGRYI7SsBkm1hvfHlBMj2NvqMMt&#10;p8R8cOhq3pBTEE/B5hTsQtTbrqxQ7gfh7S4hicItdxhhp8Y4r0J52q28EP++l6r7/2n1F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L3UTQAAAAAgEAAA8AAAAAAAAAAQAgAAAAIgAAAGRycy9kb3du&#10;cmV2LnhtbFBLAQIUABQAAAAIAIdO4kCB4XWtzgEAAJcDAAAOAAAAAAAAAAEAIAAAAB8BAABkcnMv&#10;ZTJvRG9jLnhtbFBLBQYAAAAABgAGAFkBAABfBQAAAAA=&#10;">
              <v:fill on="f" focussize="0,0"/>
              <v:stroke on="f"/>
              <v:imagedata o:title=""/>
              <o:lock v:ext="edit" aspectratio="f"/>
              <v:textbox inset="0mm,0mm,0mm,0mm" style="mso-fit-shape-to-text:t;">
                <w:txbxContent>
                  <w:p>
                    <w:pPr>
                      <w:rPr>
                        <w:rFonts w:hint="eastAsia"/>
                        <w:lang w:eastAsia="zh-CN"/>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9C5CF5"/>
    <w:multiLevelType w:val="singleLevel"/>
    <w:tmpl w:val="139C5CF5"/>
    <w:lvl w:ilvl="0" w:tentative="0">
      <w:start w:val="3"/>
      <w:numFmt w:val="decimal"/>
      <w:lvlText w:val="%1."/>
      <w:lvlJc w:val="left"/>
      <w:pPr>
        <w:tabs>
          <w:tab w:val="left" w:pos="312"/>
        </w:tabs>
      </w:pPr>
    </w:lvl>
  </w:abstractNum>
  <w:abstractNum w:abstractNumId="1">
    <w:nsid w:val="1D2341AC"/>
    <w:multiLevelType w:val="singleLevel"/>
    <w:tmpl w:val="1D2341AC"/>
    <w:lvl w:ilvl="0" w:tentative="0">
      <w:start w:val="2"/>
      <w:numFmt w:val="chineseCounting"/>
      <w:suff w:val="nothing"/>
      <w:lvlText w:val="（%1）"/>
      <w:lvlJc w:val="left"/>
      <w:rPr>
        <w:rFonts w:hint="eastAsia"/>
        <w:b/>
        <w:bCs/>
      </w:rPr>
    </w:lvl>
  </w:abstractNum>
  <w:abstractNum w:abstractNumId="2">
    <w:nsid w:val="2EDB939B"/>
    <w:multiLevelType w:val="singleLevel"/>
    <w:tmpl w:val="2EDB939B"/>
    <w:lvl w:ilvl="0" w:tentative="0">
      <w:start w:val="1"/>
      <w:numFmt w:val="chineseCounting"/>
      <w:suff w:val="nothing"/>
      <w:lvlText w:val="（%1）"/>
      <w:lvlJc w:val="left"/>
      <w:rPr>
        <w:rFonts w:hint="eastAsia"/>
      </w:rPr>
    </w:lvl>
  </w:abstractNum>
  <w:abstractNum w:abstractNumId="3">
    <w:nsid w:val="30E1986B"/>
    <w:multiLevelType w:val="singleLevel"/>
    <w:tmpl w:val="30E1986B"/>
    <w:lvl w:ilvl="0" w:tentative="0">
      <w:start w:val="2"/>
      <w:numFmt w:val="decimal"/>
      <w:suff w:val="nothing"/>
      <w:lvlText w:val="%1、"/>
      <w:lvlJc w:val="left"/>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ZhMzY1ZDFhMWMzMTMxNGE3NDUzOTAxZjllNmExZWIifQ=="/>
  </w:docVars>
  <w:rsids>
    <w:rsidRoot w:val="00211A06"/>
    <w:rsid w:val="00021A93"/>
    <w:rsid w:val="00022AC9"/>
    <w:rsid w:val="00022CCB"/>
    <w:rsid w:val="00033690"/>
    <w:rsid w:val="00037636"/>
    <w:rsid w:val="00040B3B"/>
    <w:rsid w:val="00045B47"/>
    <w:rsid w:val="00062FD2"/>
    <w:rsid w:val="00063709"/>
    <w:rsid w:val="000663DF"/>
    <w:rsid w:val="00074E94"/>
    <w:rsid w:val="0008680C"/>
    <w:rsid w:val="000C18D4"/>
    <w:rsid w:val="000C337B"/>
    <w:rsid w:val="00116D03"/>
    <w:rsid w:val="001801CB"/>
    <w:rsid w:val="00180494"/>
    <w:rsid w:val="00191E53"/>
    <w:rsid w:val="001A39F3"/>
    <w:rsid w:val="001F27E3"/>
    <w:rsid w:val="001F6586"/>
    <w:rsid w:val="00211A06"/>
    <w:rsid w:val="002252FB"/>
    <w:rsid w:val="00232C9A"/>
    <w:rsid w:val="00290F05"/>
    <w:rsid w:val="00291E96"/>
    <w:rsid w:val="002C4C36"/>
    <w:rsid w:val="00304A54"/>
    <w:rsid w:val="00307B1C"/>
    <w:rsid w:val="0032515E"/>
    <w:rsid w:val="00367D15"/>
    <w:rsid w:val="00375B84"/>
    <w:rsid w:val="00382AA7"/>
    <w:rsid w:val="003B0936"/>
    <w:rsid w:val="003B0AFB"/>
    <w:rsid w:val="003C04BA"/>
    <w:rsid w:val="003D2203"/>
    <w:rsid w:val="003F3F59"/>
    <w:rsid w:val="003F4189"/>
    <w:rsid w:val="003F63AF"/>
    <w:rsid w:val="00407CD8"/>
    <w:rsid w:val="00420EBA"/>
    <w:rsid w:val="00421149"/>
    <w:rsid w:val="0043089C"/>
    <w:rsid w:val="004577B9"/>
    <w:rsid w:val="004633CA"/>
    <w:rsid w:val="004951F5"/>
    <w:rsid w:val="004A4DA8"/>
    <w:rsid w:val="004B1D5E"/>
    <w:rsid w:val="004C3BB7"/>
    <w:rsid w:val="004C42D1"/>
    <w:rsid w:val="004C6A67"/>
    <w:rsid w:val="004D3E43"/>
    <w:rsid w:val="004E27DE"/>
    <w:rsid w:val="00500EA6"/>
    <w:rsid w:val="005079B6"/>
    <w:rsid w:val="005152FF"/>
    <w:rsid w:val="00525E01"/>
    <w:rsid w:val="00532D3B"/>
    <w:rsid w:val="00553189"/>
    <w:rsid w:val="00553DAD"/>
    <w:rsid w:val="005705AC"/>
    <w:rsid w:val="005924C2"/>
    <w:rsid w:val="00592FF9"/>
    <w:rsid w:val="005A1AAB"/>
    <w:rsid w:val="005A2BE2"/>
    <w:rsid w:val="0061444C"/>
    <w:rsid w:val="00634029"/>
    <w:rsid w:val="00666023"/>
    <w:rsid w:val="0067094A"/>
    <w:rsid w:val="00670B24"/>
    <w:rsid w:val="00694701"/>
    <w:rsid w:val="006B1915"/>
    <w:rsid w:val="006D238A"/>
    <w:rsid w:val="006D57DA"/>
    <w:rsid w:val="006E75E7"/>
    <w:rsid w:val="0072135F"/>
    <w:rsid w:val="00736E46"/>
    <w:rsid w:val="0074577C"/>
    <w:rsid w:val="00753BDB"/>
    <w:rsid w:val="007805F5"/>
    <w:rsid w:val="007823C8"/>
    <w:rsid w:val="007A241F"/>
    <w:rsid w:val="007C6F13"/>
    <w:rsid w:val="007F128A"/>
    <w:rsid w:val="0082376C"/>
    <w:rsid w:val="00832D7D"/>
    <w:rsid w:val="00872BAA"/>
    <w:rsid w:val="00873C94"/>
    <w:rsid w:val="008872CC"/>
    <w:rsid w:val="00895007"/>
    <w:rsid w:val="0089540B"/>
    <w:rsid w:val="008A291C"/>
    <w:rsid w:val="008B438E"/>
    <w:rsid w:val="008B6D4C"/>
    <w:rsid w:val="008E66D2"/>
    <w:rsid w:val="008F1135"/>
    <w:rsid w:val="00944B51"/>
    <w:rsid w:val="00947591"/>
    <w:rsid w:val="00963CA0"/>
    <w:rsid w:val="00992EEF"/>
    <w:rsid w:val="00993AD1"/>
    <w:rsid w:val="009A1453"/>
    <w:rsid w:val="009D6E14"/>
    <w:rsid w:val="00A33BF0"/>
    <w:rsid w:val="00A5075D"/>
    <w:rsid w:val="00A523A2"/>
    <w:rsid w:val="00A97617"/>
    <w:rsid w:val="00AC2A43"/>
    <w:rsid w:val="00B460BD"/>
    <w:rsid w:val="00B5112C"/>
    <w:rsid w:val="00B6307F"/>
    <w:rsid w:val="00B743EE"/>
    <w:rsid w:val="00BA32B4"/>
    <w:rsid w:val="00BC64F1"/>
    <w:rsid w:val="00BD30D4"/>
    <w:rsid w:val="00BD4EA3"/>
    <w:rsid w:val="00BD64D6"/>
    <w:rsid w:val="00C05382"/>
    <w:rsid w:val="00C05938"/>
    <w:rsid w:val="00C174EB"/>
    <w:rsid w:val="00C426E2"/>
    <w:rsid w:val="00C676E1"/>
    <w:rsid w:val="00C73DCB"/>
    <w:rsid w:val="00CD4E4B"/>
    <w:rsid w:val="00D00DDD"/>
    <w:rsid w:val="00D050DC"/>
    <w:rsid w:val="00D5233C"/>
    <w:rsid w:val="00D52BD5"/>
    <w:rsid w:val="00D605B8"/>
    <w:rsid w:val="00D7014D"/>
    <w:rsid w:val="00D715E2"/>
    <w:rsid w:val="00DC78AA"/>
    <w:rsid w:val="00DD29DF"/>
    <w:rsid w:val="00DD4911"/>
    <w:rsid w:val="00DE1623"/>
    <w:rsid w:val="00DE52BB"/>
    <w:rsid w:val="00E147D9"/>
    <w:rsid w:val="00E35644"/>
    <w:rsid w:val="00E35C25"/>
    <w:rsid w:val="00E57C75"/>
    <w:rsid w:val="00E7390A"/>
    <w:rsid w:val="00E760DC"/>
    <w:rsid w:val="00E9722D"/>
    <w:rsid w:val="00EB3E0C"/>
    <w:rsid w:val="00ED1BEB"/>
    <w:rsid w:val="00EE5DC7"/>
    <w:rsid w:val="00F0654D"/>
    <w:rsid w:val="00F20D11"/>
    <w:rsid w:val="00F222A2"/>
    <w:rsid w:val="00F31168"/>
    <w:rsid w:val="00F47B98"/>
    <w:rsid w:val="00F509D6"/>
    <w:rsid w:val="00F67CF3"/>
    <w:rsid w:val="00F901E7"/>
    <w:rsid w:val="00F95B0B"/>
    <w:rsid w:val="00F96E69"/>
    <w:rsid w:val="00FF356A"/>
    <w:rsid w:val="01BB628E"/>
    <w:rsid w:val="022F5A68"/>
    <w:rsid w:val="02FC65B3"/>
    <w:rsid w:val="05A669E5"/>
    <w:rsid w:val="084B284E"/>
    <w:rsid w:val="0A32166C"/>
    <w:rsid w:val="0E6662A3"/>
    <w:rsid w:val="0FB628FC"/>
    <w:rsid w:val="10BE7B7A"/>
    <w:rsid w:val="10D64AD9"/>
    <w:rsid w:val="130A76A8"/>
    <w:rsid w:val="139E0D62"/>
    <w:rsid w:val="1426157D"/>
    <w:rsid w:val="1A8F0C8E"/>
    <w:rsid w:val="1BE55B53"/>
    <w:rsid w:val="1BF9122C"/>
    <w:rsid w:val="1C970494"/>
    <w:rsid w:val="1FA74024"/>
    <w:rsid w:val="21D312BD"/>
    <w:rsid w:val="22293A73"/>
    <w:rsid w:val="28A80411"/>
    <w:rsid w:val="28F96D0F"/>
    <w:rsid w:val="28FB66D7"/>
    <w:rsid w:val="290238C5"/>
    <w:rsid w:val="29210985"/>
    <w:rsid w:val="2CB9772F"/>
    <w:rsid w:val="2DC07DFB"/>
    <w:rsid w:val="32B14332"/>
    <w:rsid w:val="34953C01"/>
    <w:rsid w:val="34BA55AB"/>
    <w:rsid w:val="377C33B7"/>
    <w:rsid w:val="38C32611"/>
    <w:rsid w:val="39874DB0"/>
    <w:rsid w:val="3B6F5983"/>
    <w:rsid w:val="3B9401AC"/>
    <w:rsid w:val="3CB025A8"/>
    <w:rsid w:val="46EF5F23"/>
    <w:rsid w:val="499B3DC7"/>
    <w:rsid w:val="4B1D63ED"/>
    <w:rsid w:val="4D6B08F2"/>
    <w:rsid w:val="549F6A87"/>
    <w:rsid w:val="57774D2C"/>
    <w:rsid w:val="57A71560"/>
    <w:rsid w:val="5C3E4E9F"/>
    <w:rsid w:val="5EE26C91"/>
    <w:rsid w:val="603F5E1A"/>
    <w:rsid w:val="60EA4B23"/>
    <w:rsid w:val="648C59B6"/>
    <w:rsid w:val="66396D8A"/>
    <w:rsid w:val="66A637FC"/>
    <w:rsid w:val="6A4211A2"/>
    <w:rsid w:val="6DC82B07"/>
    <w:rsid w:val="712077CB"/>
    <w:rsid w:val="721D735D"/>
    <w:rsid w:val="7573540B"/>
    <w:rsid w:val="77205D13"/>
    <w:rsid w:val="7B221FA9"/>
    <w:rsid w:val="7EA2026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qFormat="1"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eastAsia="宋体"/>
      <w:kern w:val="2"/>
      <w:sz w:val="21"/>
      <w:szCs w:val="24"/>
      <w:lang w:val="en-US" w:eastAsia="zh-CN" w:bidi="ar-SA"/>
    </w:rPr>
  </w:style>
  <w:style w:type="paragraph" w:styleId="3">
    <w:name w:val="heading 4"/>
    <w:basedOn w:val="1"/>
    <w:next w:val="1"/>
    <w:qFormat/>
    <w:uiPriority w:val="0"/>
    <w:pPr>
      <w:keepNext/>
      <w:keepLines/>
      <w:widowControl w:val="0"/>
      <w:spacing w:before="280" w:after="290" w:line="376" w:lineRule="auto"/>
      <w:outlineLvl w:val="3"/>
    </w:pPr>
    <w:rPr>
      <w:rFonts w:ascii="Cambria" w:hAnsi="Cambria" w:eastAsia="宋体" w:cs="Times New Roman"/>
      <w:b/>
      <w:bCs/>
      <w:sz w:val="28"/>
      <w:szCs w:val="28"/>
      <w:lang w:bidi="ar-SA"/>
    </w:rPr>
  </w:style>
  <w:style w:type="character" w:default="1" w:styleId="14">
    <w:name w:val="Default Paragraph Font"/>
    <w:semiHidden/>
    <w:uiPriority w:val="0"/>
  </w:style>
  <w:style w:type="table" w:default="1" w:styleId="13">
    <w:name w:val="Normal Table"/>
    <w:semiHidden/>
    <w:uiPriority w:val="0"/>
    <w:tblPr>
      <w:tblStyle w:val="13"/>
      <w:tblCellMar>
        <w:top w:w="0" w:type="dxa"/>
        <w:left w:w="108" w:type="dxa"/>
        <w:bottom w:w="0" w:type="dxa"/>
        <w:right w:w="108" w:type="dxa"/>
      </w:tblCellMar>
    </w:tblPr>
  </w:style>
  <w:style w:type="paragraph" w:styleId="2">
    <w:name w:val="Normal Indent"/>
    <w:basedOn w:val="1"/>
    <w:next w:val="1"/>
    <w:qFormat/>
    <w:uiPriority w:val="0"/>
    <w:pPr>
      <w:keepNext w:val="0"/>
      <w:keepLines w:val="0"/>
      <w:widowControl w:val="0"/>
      <w:suppressLineNumbers w:val="0"/>
      <w:spacing w:before="0" w:beforeAutospacing="0" w:after="0" w:afterAutospacing="0" w:line="240" w:lineRule="auto"/>
      <w:ind w:left="0" w:firstLine="420"/>
      <w:jc w:val="both"/>
    </w:pPr>
    <w:rPr>
      <w:rFonts w:hint="default" w:ascii="Times New Roman" w:hAnsi="Times New Roman" w:eastAsia="宋体" w:cs="Times New Roman"/>
      <w:kern w:val="2"/>
      <w:sz w:val="21"/>
      <w:szCs w:val="20"/>
      <w:lang w:val="en-US" w:eastAsia="zh-CN" w:bidi="ar"/>
    </w:rPr>
  </w:style>
  <w:style w:type="paragraph" w:styleId="4">
    <w:name w:val="annotation text"/>
    <w:basedOn w:val="1"/>
    <w:semiHidden/>
    <w:uiPriority w:val="0"/>
    <w:pPr>
      <w:jc w:val="left"/>
    </w:pPr>
  </w:style>
  <w:style w:type="paragraph" w:styleId="5">
    <w:name w:val="Body Text Indent"/>
    <w:basedOn w:val="1"/>
    <w:uiPriority w:val="0"/>
    <w:pPr>
      <w:ind w:left="840" w:hanging="840" w:hangingChars="300"/>
      <w:jc w:val="left"/>
    </w:pPr>
    <w:rPr>
      <w:rFonts w:ascii="宋体" w:hAnsi="宋体"/>
      <w:sz w:val="28"/>
    </w:rPr>
  </w:style>
  <w:style w:type="paragraph" w:styleId="6">
    <w:name w:val="Date"/>
    <w:basedOn w:val="1"/>
    <w:next w:val="1"/>
    <w:uiPriority w:val="0"/>
    <w:pPr>
      <w:ind w:left="100" w:leftChars="2500"/>
    </w:pPr>
  </w:style>
  <w:style w:type="paragraph" w:styleId="7">
    <w:name w:val="Body Text Indent 2"/>
    <w:basedOn w:val="1"/>
    <w:uiPriority w:val="0"/>
    <w:pPr>
      <w:ind w:firstLine="538" w:firstLineChars="168"/>
    </w:pPr>
    <w:rPr>
      <w:rFonts w:ascii="仿宋_GB2312" w:hAnsi="宋体" w:eastAsia="仿宋_GB2312"/>
      <w:sz w:val="32"/>
    </w:rPr>
  </w:style>
  <w:style w:type="paragraph" w:styleId="8">
    <w:name w:val="Balloon Text"/>
    <w:basedOn w:val="1"/>
    <w:semiHidden/>
    <w:uiPriority w:val="0"/>
    <w:rPr>
      <w:sz w:val="18"/>
      <w:szCs w:val="18"/>
    </w:rPr>
  </w:style>
  <w:style w:type="paragraph" w:styleId="9">
    <w:name w:val="footer"/>
    <w:basedOn w:val="1"/>
    <w:uiPriority w:val="0"/>
    <w:pPr>
      <w:tabs>
        <w:tab w:val="center" w:pos="4153"/>
        <w:tab w:val="right" w:pos="8306"/>
      </w:tabs>
      <w:snapToGrid w:val="0"/>
      <w:jc w:val="left"/>
    </w:pPr>
    <w:rPr>
      <w:sz w:val="18"/>
      <w:szCs w:val="18"/>
    </w:rPr>
  </w:style>
  <w:style w:type="paragraph" w:styleId="10">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after="100"/>
      <w:jc w:val="left"/>
    </w:pPr>
    <w:rPr>
      <w:rFonts w:hint="eastAsia" w:ascii="宋体" w:hAnsi="宋体"/>
      <w:color w:val="000000"/>
      <w:kern w:val="0"/>
      <w:sz w:val="24"/>
      <w:szCs w:val="20"/>
    </w:rPr>
  </w:style>
  <w:style w:type="paragraph" w:styleId="12">
    <w:name w:val="annotation subject"/>
    <w:basedOn w:val="4"/>
    <w:next w:val="4"/>
    <w:semiHidden/>
    <w:uiPriority w:val="0"/>
    <w:rPr>
      <w:b/>
      <w:bCs/>
    </w:rPr>
  </w:style>
  <w:style w:type="character" w:styleId="15">
    <w:name w:val="page number"/>
    <w:basedOn w:val="14"/>
    <w:uiPriority w:val="0"/>
    <w:rPr>
      <w:rFonts w:ascii="Times New Roman" w:hAnsi="Times New Roman" w:eastAsia="宋体"/>
    </w:rPr>
  </w:style>
  <w:style w:type="character" w:styleId="16">
    <w:name w:val="annotation reference"/>
    <w:basedOn w:val="14"/>
    <w:semiHidden/>
    <w:uiPriority w:val="0"/>
    <w:rPr>
      <w:sz w:val="21"/>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 </Company>
  <Pages>18</Pages>
  <Words>172</Words>
  <Characters>985</Characters>
  <Lines>8</Lines>
  <Paragraphs>2</Paragraphs>
  <TotalTime>0</TotalTime>
  <ScaleCrop>false</ScaleCrop>
  <LinksUpToDate>false</LinksUpToDate>
  <CharactersWithSpaces>1155</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2016-08-03T08:15:00Z</dcterms:created>
  <dc:creator>Office 2000</dc:creator>
  <cp:lastModifiedBy>杨伟城</cp:lastModifiedBy>
  <cp:lastPrinted>2024-12-19T02:36:39Z</cp:lastPrinted>
  <dcterms:modified xsi:type="dcterms:W3CDTF">2024-12-31T08:19:52Z</dcterms:modified>
  <dc:title>苏州市吴中区农业局</dc:title>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6A03D884276342CB98F0CA0D29FFA74D_13</vt:lpwstr>
  </property>
</Properties>
</file>