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DF14F3">
      <w:pPr>
        <w:adjustRightInd w:val="0"/>
        <w:snapToGrid w:val="0"/>
        <w:spacing w:line="240" w:lineRule="exact"/>
        <w:ind w:left="210" w:leftChars="100" w:right="210" w:rightChars="100"/>
        <w:jc w:val="distribute"/>
        <w:rPr>
          <w:rFonts w:hint="eastAsia" w:eastAsia="方正小标宋简体"/>
          <w:color w:val="000000"/>
          <w:w w:val="95"/>
          <w:sz w:val="84"/>
          <w:szCs w:val="84"/>
        </w:rPr>
      </w:pPr>
    </w:p>
    <w:p w14:paraId="18367447">
      <w:pPr>
        <w:spacing w:line="580" w:lineRule="exact"/>
        <w:jc w:val="center"/>
        <w:rPr>
          <w:rFonts w:hint="eastAsia" w:eastAsia="方正小标宋简体"/>
          <w:color w:val="000000"/>
          <w:spacing w:val="-4"/>
          <w:sz w:val="44"/>
          <w:szCs w:val="44"/>
          <w:lang w:eastAsia="zh-CN"/>
        </w:rPr>
      </w:pPr>
      <w:r>
        <w:rPr>
          <w:rFonts w:hint="eastAsia" w:eastAsia="方正小标宋简体"/>
          <w:color w:val="000000"/>
          <w:spacing w:val="-4"/>
          <w:sz w:val="44"/>
          <w:szCs w:val="44"/>
          <w:lang w:eastAsia="zh-CN"/>
        </w:rPr>
        <w:t>《</w:t>
      </w:r>
      <w:r>
        <w:rPr>
          <w:rFonts w:hint="eastAsia" w:eastAsia="方正小标宋简体"/>
          <w:color w:val="000000"/>
          <w:spacing w:val="-4"/>
          <w:sz w:val="44"/>
          <w:szCs w:val="44"/>
        </w:rPr>
        <w:t>关于促进吴中区知识产权、质量标准高质量发展若干政策</w:t>
      </w:r>
      <w:r>
        <w:rPr>
          <w:rFonts w:hint="eastAsia" w:eastAsia="方正小标宋简体"/>
          <w:color w:val="000000"/>
          <w:spacing w:val="-4"/>
          <w:sz w:val="44"/>
          <w:szCs w:val="44"/>
          <w:lang w:eastAsia="zh-CN"/>
        </w:rPr>
        <w:t>措施》的政策解读</w:t>
      </w:r>
    </w:p>
    <w:p w14:paraId="4146702F">
      <w:pPr>
        <w:spacing w:line="580" w:lineRule="exact"/>
        <w:rPr>
          <w:rFonts w:hint="eastAsia" w:eastAsia="仿宋_GB2312"/>
          <w:color w:val="000000"/>
          <w:spacing w:val="-4"/>
          <w:sz w:val="32"/>
          <w:szCs w:val="32"/>
        </w:rPr>
      </w:pPr>
    </w:p>
    <w:p w14:paraId="66ABED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00" w:firstLineChars="200"/>
        <w:textAlignment w:val="auto"/>
        <w:rPr>
          <w:rFonts w:eastAsia="黑体"/>
          <w:spacing w:val="-10"/>
          <w:sz w:val="32"/>
          <w:szCs w:val="32"/>
        </w:rPr>
      </w:pPr>
      <w:r>
        <w:rPr>
          <w:rFonts w:eastAsia="黑体"/>
          <w:spacing w:val="-10"/>
          <w:sz w:val="32"/>
          <w:szCs w:val="32"/>
        </w:rPr>
        <w:t>一、制定背景</w:t>
      </w:r>
    </w:p>
    <w:p w14:paraId="513C90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00" w:firstLineChars="200"/>
        <w:textAlignment w:val="auto"/>
        <w:rPr>
          <w:rFonts w:ascii="Times New Roman" w:hAnsi="Times New Roman" w:eastAsia="仿宋_GB2312" w:cs="Times New Roman"/>
          <w:color w:val="auto"/>
          <w:spacing w:val="-10"/>
          <w:sz w:val="32"/>
        </w:rPr>
      </w:pPr>
      <w:r>
        <w:rPr>
          <w:rFonts w:hint="default" w:ascii="Times New Roman" w:hAnsi="Times New Roman" w:eastAsia="仿宋_GB2312" w:cs="Times New Roman"/>
          <w:color w:val="auto"/>
          <w:spacing w:val="-10"/>
          <w:sz w:val="32"/>
          <w:lang w:eastAsia="zh-CN"/>
        </w:rPr>
        <w:t>为切实推进“两个强区”建设，</w:t>
      </w:r>
      <w:r>
        <w:rPr>
          <w:rFonts w:hint="default" w:ascii="Times New Roman" w:hAnsi="Times New Roman" w:eastAsia="仿宋_GB2312" w:cs="Times New Roman"/>
          <w:color w:val="auto"/>
          <w:spacing w:val="-10"/>
          <w:sz w:val="32"/>
        </w:rPr>
        <w:t>不断提升知识产权治</w:t>
      </w:r>
      <w:r>
        <w:rPr>
          <w:rFonts w:hint="eastAsia" w:ascii="Times New Roman" w:hAnsi="Times New Roman" w:eastAsia="仿宋_GB2312" w:cs="Times New Roman"/>
          <w:color w:val="auto"/>
          <w:spacing w:val="-10"/>
          <w:sz w:val="32"/>
        </w:rPr>
        <w:t>理能力</w:t>
      </w:r>
      <w:r>
        <w:rPr>
          <w:rFonts w:hint="eastAsia" w:ascii="Times New Roman" w:hAnsi="Times New Roman" w:eastAsia="仿宋_GB2312" w:cs="Times New Roman"/>
          <w:color w:val="auto"/>
          <w:spacing w:val="-10"/>
          <w:sz w:val="32"/>
          <w:lang w:eastAsia="zh-CN"/>
        </w:rPr>
        <w:t>、</w:t>
      </w:r>
      <w:r>
        <w:rPr>
          <w:rFonts w:hint="eastAsia" w:ascii="Times New Roman" w:hAnsi="Times New Roman" w:eastAsia="仿宋_GB2312" w:cs="Times New Roman"/>
          <w:color w:val="auto"/>
          <w:spacing w:val="-10"/>
          <w:sz w:val="32"/>
        </w:rPr>
        <w:t>治理效能</w:t>
      </w:r>
      <w:r>
        <w:rPr>
          <w:rFonts w:hint="eastAsia" w:ascii="Times New Roman" w:hAnsi="Times New Roman" w:eastAsia="仿宋_GB2312" w:cs="Times New Roman"/>
          <w:color w:val="auto"/>
          <w:spacing w:val="-10"/>
          <w:sz w:val="32"/>
          <w:lang w:eastAsia="zh-CN"/>
        </w:rPr>
        <w:t>、</w:t>
      </w:r>
      <w:r>
        <w:rPr>
          <w:rFonts w:hint="eastAsia" w:ascii="Times New Roman" w:hAnsi="Times New Roman" w:eastAsia="仿宋_GB2312" w:cs="Times New Roman"/>
          <w:color w:val="auto"/>
          <w:spacing w:val="-10"/>
          <w:sz w:val="32"/>
          <w:lang w:val="en-US" w:eastAsia="zh-CN"/>
        </w:rPr>
        <w:t>质量支撑和标准引领，</w:t>
      </w:r>
      <w:r>
        <w:rPr>
          <w:rFonts w:hint="eastAsia" w:ascii="Times New Roman" w:hAnsi="Times New Roman" w:eastAsia="仿宋_GB2312" w:cs="Times New Roman"/>
          <w:color w:val="auto"/>
          <w:spacing w:val="-10"/>
          <w:sz w:val="32"/>
        </w:rPr>
        <w:t>进一步激发市场主体创新创业活力，助推全区经济社会高质量发展</w:t>
      </w:r>
      <w:r>
        <w:rPr>
          <w:rFonts w:hint="eastAsia" w:ascii="Times New Roman" w:hAnsi="Times New Roman" w:eastAsia="仿宋_GB2312" w:cs="Times New Roman"/>
          <w:color w:val="auto"/>
          <w:spacing w:val="-10"/>
          <w:sz w:val="32"/>
          <w:lang w:eastAsia="zh-CN"/>
        </w:rPr>
        <w:t>，</w:t>
      </w:r>
      <w:r>
        <w:rPr>
          <w:rFonts w:hint="eastAsia" w:ascii="Times New Roman" w:hAnsi="Times New Roman" w:eastAsia="仿宋_GB2312" w:cs="Times New Roman"/>
          <w:color w:val="auto"/>
          <w:spacing w:val="-10"/>
          <w:sz w:val="32"/>
        </w:rPr>
        <w:t>特制定《关于促进吴中区知识产权、质量标准高质量发展若干政策</w:t>
      </w:r>
      <w:r>
        <w:rPr>
          <w:rFonts w:hint="eastAsia" w:ascii="Times New Roman" w:hAnsi="Times New Roman" w:eastAsia="仿宋_GB2312" w:cs="Times New Roman"/>
          <w:color w:val="auto"/>
          <w:spacing w:val="-10"/>
          <w:sz w:val="32"/>
          <w:lang w:eastAsia="zh-CN"/>
        </w:rPr>
        <w:t>措施</w:t>
      </w:r>
      <w:r>
        <w:rPr>
          <w:rFonts w:hint="eastAsia" w:ascii="Times New Roman" w:hAnsi="Times New Roman" w:eastAsia="仿宋_GB2312" w:cs="Times New Roman"/>
          <w:color w:val="auto"/>
          <w:spacing w:val="-10"/>
          <w:sz w:val="32"/>
        </w:rPr>
        <w:t>》。</w:t>
      </w:r>
    </w:p>
    <w:p w14:paraId="44E1DF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00" w:firstLineChars="200"/>
        <w:textAlignment w:val="auto"/>
        <w:rPr>
          <w:rFonts w:eastAsia="黑体"/>
          <w:spacing w:val="-10"/>
          <w:sz w:val="32"/>
          <w:szCs w:val="32"/>
        </w:rPr>
      </w:pPr>
      <w:r>
        <w:rPr>
          <w:rFonts w:hint="eastAsia" w:eastAsia="黑体"/>
          <w:spacing w:val="-10"/>
          <w:sz w:val="32"/>
          <w:szCs w:val="32"/>
          <w:lang w:eastAsia="zh-CN"/>
        </w:rPr>
        <w:t>二</w:t>
      </w:r>
      <w:r>
        <w:rPr>
          <w:rFonts w:eastAsia="黑体"/>
          <w:spacing w:val="-10"/>
          <w:sz w:val="32"/>
          <w:szCs w:val="32"/>
        </w:rPr>
        <w:t>、主要内容</w:t>
      </w:r>
    </w:p>
    <w:p w14:paraId="44002F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00" w:firstLineChars="200"/>
        <w:textAlignment w:val="auto"/>
        <w:rPr>
          <w:rFonts w:hint="eastAsia" w:ascii="Times New Roman" w:hAnsi="Times New Roman" w:eastAsia="仿宋_GB2312" w:cs="Times New Roman"/>
          <w:color w:val="auto"/>
          <w:spacing w:val="-10"/>
          <w:sz w:val="32"/>
          <w:lang w:eastAsia="zh-CN"/>
        </w:rPr>
      </w:pPr>
      <w:r>
        <w:rPr>
          <w:rFonts w:ascii="Times New Roman" w:hAnsi="Times New Roman" w:eastAsia="仿宋_GB2312" w:cs="Times New Roman"/>
          <w:color w:val="auto"/>
          <w:spacing w:val="-10"/>
          <w:sz w:val="32"/>
        </w:rPr>
        <w:t>《</w:t>
      </w:r>
      <w:r>
        <w:rPr>
          <w:rFonts w:hint="eastAsia" w:ascii="Times New Roman" w:hAnsi="Times New Roman" w:eastAsia="仿宋_GB2312" w:cs="Times New Roman"/>
          <w:color w:val="auto"/>
          <w:spacing w:val="-10"/>
          <w:sz w:val="32"/>
          <w:lang w:eastAsia="zh-CN"/>
        </w:rPr>
        <w:t>政策</w:t>
      </w:r>
      <w:r>
        <w:rPr>
          <w:rFonts w:ascii="Times New Roman" w:hAnsi="Times New Roman" w:eastAsia="仿宋_GB2312" w:cs="Times New Roman"/>
          <w:color w:val="auto"/>
          <w:spacing w:val="-10"/>
          <w:sz w:val="32"/>
        </w:rPr>
        <w:t>》共分</w:t>
      </w:r>
      <w:r>
        <w:rPr>
          <w:rFonts w:hint="eastAsia" w:ascii="Times New Roman" w:hAnsi="Times New Roman" w:eastAsia="仿宋_GB2312" w:cs="Times New Roman"/>
          <w:color w:val="auto"/>
          <w:spacing w:val="-10"/>
          <w:sz w:val="32"/>
          <w:lang w:eastAsia="zh-CN"/>
        </w:rPr>
        <w:t>七</w:t>
      </w:r>
      <w:r>
        <w:rPr>
          <w:rFonts w:ascii="Times New Roman" w:hAnsi="Times New Roman" w:eastAsia="仿宋_GB2312" w:cs="Times New Roman"/>
          <w:color w:val="auto"/>
          <w:spacing w:val="-10"/>
          <w:sz w:val="32"/>
        </w:rPr>
        <w:t>个部分</w:t>
      </w:r>
      <w:r>
        <w:rPr>
          <w:rFonts w:hint="eastAsia" w:ascii="Times New Roman" w:hAnsi="Times New Roman" w:eastAsia="仿宋_GB2312" w:cs="Times New Roman"/>
          <w:color w:val="auto"/>
          <w:spacing w:val="-10"/>
          <w:sz w:val="32"/>
          <w:lang w:val="en-US" w:eastAsia="zh-CN"/>
        </w:rPr>
        <w:t>31条</w:t>
      </w:r>
      <w:r>
        <w:rPr>
          <w:rFonts w:hint="eastAsia" w:ascii="Times New Roman" w:hAnsi="Times New Roman" w:eastAsia="仿宋_GB2312" w:cs="Times New Roman"/>
          <w:color w:val="auto"/>
          <w:spacing w:val="-10"/>
          <w:sz w:val="32"/>
          <w:lang w:eastAsia="zh-CN"/>
        </w:rPr>
        <w:t>，前五项为知识产权奖补政策（共</w:t>
      </w:r>
      <w:r>
        <w:rPr>
          <w:rFonts w:hint="eastAsia" w:ascii="Times New Roman" w:hAnsi="Times New Roman" w:eastAsia="仿宋_GB2312" w:cs="Times New Roman"/>
          <w:color w:val="auto"/>
          <w:spacing w:val="-10"/>
          <w:sz w:val="32"/>
          <w:lang w:val="en-US" w:eastAsia="zh-CN"/>
        </w:rPr>
        <w:t>18条</w:t>
      </w:r>
      <w:r>
        <w:rPr>
          <w:rFonts w:hint="eastAsia" w:ascii="Times New Roman" w:hAnsi="Times New Roman" w:eastAsia="仿宋_GB2312" w:cs="Times New Roman"/>
          <w:color w:val="auto"/>
          <w:spacing w:val="-10"/>
          <w:sz w:val="32"/>
          <w:lang w:eastAsia="zh-CN"/>
        </w:rPr>
        <w:t>），第六项为质量与标准奖补政策（共</w:t>
      </w:r>
      <w:r>
        <w:rPr>
          <w:rFonts w:hint="eastAsia" w:ascii="Times New Roman" w:hAnsi="Times New Roman" w:eastAsia="仿宋_GB2312" w:cs="Times New Roman"/>
          <w:color w:val="auto"/>
          <w:spacing w:val="-10"/>
          <w:sz w:val="32"/>
          <w:lang w:val="en-US" w:eastAsia="zh-CN"/>
        </w:rPr>
        <w:t>11条</w:t>
      </w:r>
      <w:r>
        <w:rPr>
          <w:rFonts w:hint="eastAsia" w:ascii="Times New Roman" w:hAnsi="Times New Roman" w:eastAsia="仿宋_GB2312" w:cs="Times New Roman"/>
          <w:color w:val="auto"/>
          <w:spacing w:val="-10"/>
          <w:sz w:val="32"/>
          <w:lang w:eastAsia="zh-CN"/>
        </w:rPr>
        <w:t>），第七项为附则（共</w:t>
      </w:r>
      <w:r>
        <w:rPr>
          <w:rFonts w:hint="eastAsia" w:ascii="Times New Roman" w:hAnsi="Times New Roman" w:eastAsia="仿宋_GB2312" w:cs="Times New Roman"/>
          <w:color w:val="auto"/>
          <w:spacing w:val="-10"/>
          <w:sz w:val="32"/>
          <w:lang w:val="en-US" w:eastAsia="zh-CN"/>
        </w:rPr>
        <w:t>2条</w:t>
      </w:r>
      <w:r>
        <w:rPr>
          <w:rFonts w:hint="eastAsia" w:ascii="Times New Roman" w:hAnsi="Times New Roman" w:eastAsia="仿宋_GB2312" w:cs="Times New Roman"/>
          <w:color w:val="auto"/>
          <w:spacing w:val="-10"/>
          <w:sz w:val="32"/>
          <w:lang w:eastAsia="zh-CN"/>
        </w:rPr>
        <w:t>）。</w:t>
      </w:r>
    </w:p>
    <w:p w14:paraId="420316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03" w:firstLineChars="200"/>
        <w:textAlignment w:val="auto"/>
        <w:rPr>
          <w:rFonts w:hint="eastAsia" w:ascii="Times New Roman" w:hAnsi="Times New Roman" w:eastAsia="仿宋_GB2312" w:cs="Times New Roman"/>
          <w:color w:val="auto"/>
          <w:spacing w:val="-10"/>
          <w:sz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b/>
          <w:bCs/>
          <w:color w:val="auto"/>
          <w:spacing w:val="-10"/>
          <w:sz w:val="32"/>
          <w:lang w:eastAsia="zh-CN"/>
        </w:rPr>
        <w:t>第一</w:t>
      </w:r>
      <w:r>
        <w:rPr>
          <w:rFonts w:hint="eastAsia" w:eastAsia="仿宋_GB2312" w:cs="Times New Roman"/>
          <w:b/>
          <w:bCs/>
          <w:color w:val="auto"/>
          <w:spacing w:val="-10"/>
          <w:sz w:val="32"/>
          <w:lang w:eastAsia="zh-CN"/>
        </w:rPr>
        <w:t>部分</w:t>
      </w:r>
      <w:r>
        <w:rPr>
          <w:rFonts w:hint="eastAsia" w:ascii="Times New Roman" w:hAnsi="Times New Roman" w:eastAsia="仿宋_GB2312" w:cs="Times New Roman"/>
          <w:color w:val="auto"/>
          <w:spacing w:val="-10"/>
          <w:sz w:val="32"/>
          <w:lang w:eastAsia="zh-CN"/>
        </w:rPr>
        <w:t>“</w:t>
      </w:r>
      <w:r>
        <w:rPr>
          <w:rFonts w:ascii="Times New Roman" w:hAnsi="Times New Roman" w:eastAsia="仿宋_GB2312" w:cs="Times New Roman"/>
          <w:color w:val="auto"/>
          <w:spacing w:val="-10"/>
          <w:sz w:val="32"/>
        </w:rPr>
        <w:t>鼓励知识产权高质量创造</w:t>
      </w:r>
      <w:r>
        <w:rPr>
          <w:rFonts w:hint="eastAsia" w:ascii="Times New Roman" w:hAnsi="Times New Roman" w:eastAsia="仿宋_GB2312" w:cs="Times New Roman"/>
          <w:color w:val="auto"/>
          <w:spacing w:val="-10"/>
          <w:sz w:val="32"/>
          <w:lang w:eastAsia="zh-CN"/>
        </w:rPr>
        <w:t>”（第</w:t>
      </w:r>
      <w:r>
        <w:rPr>
          <w:rFonts w:hint="eastAsia" w:ascii="Times New Roman" w:hAnsi="Times New Roman" w:eastAsia="仿宋_GB2312" w:cs="Times New Roman"/>
          <w:color w:val="auto"/>
          <w:spacing w:val="-10"/>
          <w:sz w:val="32"/>
          <w:lang w:val="en-US" w:eastAsia="zh-CN"/>
        </w:rPr>
        <w:t>1-3条</w:t>
      </w:r>
      <w:r>
        <w:rPr>
          <w:rFonts w:hint="eastAsia" w:ascii="Times New Roman" w:hAnsi="Times New Roman" w:eastAsia="仿宋_GB2312" w:cs="Times New Roman"/>
          <w:color w:val="auto"/>
          <w:spacing w:val="-10"/>
          <w:sz w:val="32"/>
          <w:lang w:eastAsia="zh-CN"/>
        </w:rPr>
        <w:t>）：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pacing w:val="-10"/>
          <w:sz w:val="32"/>
          <w:lang w:val="en-US" w:eastAsia="zh-CN"/>
        </w:rPr>
        <w:t>对</w:t>
      </w:r>
      <w:r>
        <w:rPr>
          <w:rFonts w:hint="eastAsia" w:eastAsia="仿宋_GB2312" w:cs="Times New Roman"/>
          <w:b w:val="0"/>
          <w:bCs w:val="0"/>
          <w:color w:val="auto"/>
          <w:spacing w:val="-10"/>
          <w:sz w:val="32"/>
          <w:lang w:val="en-US" w:eastAsia="zh-CN"/>
        </w:rPr>
        <w:t>获得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pacing w:val="-10"/>
          <w:sz w:val="32"/>
          <w:lang w:val="en-US" w:eastAsia="zh-CN"/>
        </w:rPr>
        <w:t>WIPO全球奖</w:t>
      </w:r>
      <w:r>
        <w:rPr>
          <w:rFonts w:hint="eastAsia" w:eastAsia="仿宋_GB2312" w:cs="Times New Roman"/>
          <w:b w:val="0"/>
          <w:bCs w:val="0"/>
          <w:color w:val="auto"/>
          <w:spacing w:val="-10"/>
          <w:sz w:val="32"/>
          <w:lang w:val="en-US" w:eastAsia="zh-CN"/>
        </w:rPr>
        <w:t>、各级专利奖，获得海外发明专利授权、马德里国际商标注册，获得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pacing w:val="-10"/>
          <w:sz w:val="32"/>
          <w:lang w:val="en-US" w:eastAsia="zh-CN"/>
        </w:rPr>
        <w:t>数据知识产权登记证书</w:t>
      </w:r>
      <w:r>
        <w:rPr>
          <w:rFonts w:hint="eastAsia" w:eastAsia="仿宋_GB2312" w:cs="Times New Roman"/>
          <w:b w:val="0"/>
          <w:bCs w:val="0"/>
          <w:color w:val="auto"/>
          <w:spacing w:val="-10"/>
          <w:sz w:val="32"/>
          <w:lang w:val="en-US" w:eastAsia="zh-CN"/>
        </w:rPr>
        <w:t>的企业和个人进行奖励</w:t>
      </w:r>
      <w:r>
        <w:rPr>
          <w:rFonts w:hint="eastAsia" w:ascii="Times New Roman" w:hAnsi="Times New Roman" w:eastAsia="仿宋_GB2312" w:cs="Times New Roman"/>
          <w:color w:val="auto"/>
          <w:spacing w:val="-10"/>
          <w:sz w:val="32"/>
          <w:lang w:val="en-US" w:eastAsia="zh-CN"/>
        </w:rPr>
        <w:t>。</w:t>
      </w:r>
    </w:p>
    <w:p w14:paraId="565D7A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03" w:firstLineChars="200"/>
        <w:textAlignment w:val="auto"/>
        <w:rPr>
          <w:rFonts w:hint="eastAsia" w:eastAsia="仿宋_GB2312" w:cs="Times New Roman"/>
          <w:b w:val="0"/>
          <w:bCs w:val="0"/>
          <w:color w:val="auto"/>
          <w:spacing w:val="-10"/>
          <w:sz w:val="32"/>
          <w:lang w:eastAsia="zh-CN"/>
        </w:rPr>
      </w:pPr>
      <w:r>
        <w:rPr>
          <w:rFonts w:hint="eastAsia" w:ascii="Times New Roman" w:hAnsi="Times New Roman" w:eastAsia="仿宋_GB2312" w:cs="Times New Roman"/>
          <w:b/>
          <w:bCs/>
          <w:color w:val="auto"/>
          <w:spacing w:val="-10"/>
          <w:sz w:val="32"/>
          <w:lang w:eastAsia="zh-CN"/>
        </w:rPr>
        <w:t>第二</w:t>
      </w:r>
      <w:r>
        <w:rPr>
          <w:rFonts w:hint="eastAsia" w:eastAsia="仿宋_GB2312" w:cs="Times New Roman"/>
          <w:b/>
          <w:bCs/>
          <w:color w:val="auto"/>
          <w:spacing w:val="-10"/>
          <w:sz w:val="32"/>
          <w:lang w:eastAsia="zh-CN"/>
        </w:rPr>
        <w:t>部分</w:t>
      </w:r>
      <w:r>
        <w:rPr>
          <w:rFonts w:hint="eastAsia" w:ascii="Times New Roman" w:hAnsi="Times New Roman" w:eastAsia="仿宋_GB2312" w:cs="Times New Roman"/>
          <w:color w:val="auto"/>
          <w:spacing w:val="-10"/>
          <w:sz w:val="32"/>
          <w:lang w:eastAsia="zh-CN"/>
        </w:rPr>
        <w:t>“</w:t>
      </w:r>
      <w:r>
        <w:rPr>
          <w:rFonts w:ascii="Times New Roman" w:hAnsi="Times New Roman" w:eastAsia="仿宋_GB2312" w:cs="Times New Roman"/>
          <w:color w:val="auto"/>
          <w:spacing w:val="-10"/>
          <w:sz w:val="32"/>
        </w:rPr>
        <w:t>促进知识产权强企培育</w:t>
      </w:r>
      <w:r>
        <w:rPr>
          <w:rFonts w:hint="eastAsia" w:ascii="Times New Roman" w:hAnsi="Times New Roman" w:eastAsia="仿宋_GB2312" w:cs="Times New Roman"/>
          <w:color w:val="auto"/>
          <w:spacing w:val="-10"/>
          <w:sz w:val="32"/>
          <w:lang w:eastAsia="zh-CN"/>
        </w:rPr>
        <w:t>”（第</w:t>
      </w:r>
      <w:r>
        <w:rPr>
          <w:rFonts w:hint="eastAsia" w:ascii="Times New Roman" w:hAnsi="Times New Roman" w:eastAsia="仿宋_GB2312" w:cs="Times New Roman"/>
          <w:color w:val="auto"/>
          <w:spacing w:val="-10"/>
          <w:sz w:val="32"/>
          <w:lang w:val="en-US" w:eastAsia="zh-CN"/>
        </w:rPr>
        <w:t>4-8条</w:t>
      </w:r>
      <w:r>
        <w:rPr>
          <w:rFonts w:hint="eastAsia" w:ascii="Times New Roman" w:hAnsi="Times New Roman" w:eastAsia="仿宋_GB2312" w:cs="Times New Roman"/>
          <w:color w:val="auto"/>
          <w:spacing w:val="-10"/>
          <w:sz w:val="32"/>
          <w:lang w:eastAsia="zh-CN"/>
        </w:rPr>
        <w:t>）：</w:t>
      </w:r>
      <w:r>
        <w:rPr>
          <w:rFonts w:hint="eastAsia" w:eastAsia="仿宋_GB2312" w:cs="Times New Roman"/>
          <w:b w:val="0"/>
          <w:bCs w:val="0"/>
          <w:color w:val="auto"/>
          <w:spacing w:val="-10"/>
          <w:sz w:val="32"/>
          <w:lang w:eastAsia="zh-CN"/>
        </w:rPr>
        <w:t>实施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pacing w:val="-10"/>
          <w:sz w:val="32"/>
          <w:lang w:eastAsia="zh-CN"/>
        </w:rPr>
        <w:t>商标品牌战略推进计划项目</w:t>
      </w:r>
      <w:r>
        <w:rPr>
          <w:rFonts w:hint="eastAsia" w:eastAsia="仿宋_GB2312" w:cs="Times New Roman"/>
          <w:b w:val="0"/>
          <w:bCs w:val="0"/>
          <w:color w:val="auto"/>
          <w:spacing w:val="-10"/>
          <w:sz w:val="32"/>
          <w:lang w:eastAsia="zh-CN"/>
        </w:rPr>
        <w:t>，加强地理标志等商标品牌建设；对获评国家知识产权示范、优势企业的市场主体进行奖励；聚焦高价值专利培育转化，实施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pacing w:val="-10"/>
          <w:sz w:val="32"/>
          <w:lang w:eastAsia="zh-CN"/>
        </w:rPr>
        <w:t>知识产权密集型企业培育工程</w:t>
      </w:r>
      <w:r>
        <w:rPr>
          <w:rFonts w:hint="eastAsia" w:eastAsia="仿宋_GB2312" w:cs="Times New Roman"/>
          <w:b w:val="0"/>
          <w:bCs w:val="0"/>
          <w:color w:val="auto"/>
          <w:spacing w:val="-10"/>
          <w:sz w:val="32"/>
          <w:lang w:eastAsia="zh-CN"/>
        </w:rPr>
        <w:t>；不断推进强企培育工程，对满足条件的各级贯标企业开展奖补。</w:t>
      </w:r>
    </w:p>
    <w:p w14:paraId="589E51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03" w:firstLineChars="200"/>
        <w:textAlignment w:val="auto"/>
        <w:rPr>
          <w:rFonts w:hint="eastAsia" w:eastAsia="仿宋_GB2312" w:cs="Times New Roman"/>
          <w:color w:val="auto"/>
          <w:spacing w:val="-10"/>
          <w:sz w:val="32"/>
          <w:lang w:eastAsia="zh-CN"/>
        </w:rPr>
      </w:pPr>
      <w:r>
        <w:rPr>
          <w:rFonts w:hint="eastAsia" w:ascii="Times New Roman" w:hAnsi="Times New Roman" w:eastAsia="仿宋_GB2312" w:cs="Times New Roman"/>
          <w:b/>
          <w:bCs/>
          <w:color w:val="auto"/>
          <w:spacing w:val="-10"/>
          <w:sz w:val="32"/>
          <w:lang w:eastAsia="zh-CN"/>
        </w:rPr>
        <w:t>第三</w:t>
      </w:r>
      <w:r>
        <w:rPr>
          <w:rFonts w:hint="eastAsia" w:eastAsia="仿宋_GB2312" w:cs="Times New Roman"/>
          <w:b/>
          <w:bCs/>
          <w:color w:val="auto"/>
          <w:spacing w:val="-10"/>
          <w:sz w:val="32"/>
          <w:lang w:eastAsia="zh-CN"/>
        </w:rPr>
        <w:t>部分</w:t>
      </w:r>
      <w:r>
        <w:rPr>
          <w:rFonts w:hint="eastAsia" w:ascii="Times New Roman" w:hAnsi="Times New Roman" w:eastAsia="仿宋_GB2312" w:cs="Times New Roman"/>
          <w:color w:val="auto"/>
          <w:spacing w:val="-10"/>
          <w:sz w:val="32"/>
          <w:lang w:eastAsia="zh-CN"/>
        </w:rPr>
        <w:t>“</w:t>
      </w:r>
      <w:r>
        <w:rPr>
          <w:rFonts w:ascii="Times New Roman" w:hAnsi="Times New Roman" w:eastAsia="仿宋_GB2312" w:cs="Times New Roman"/>
          <w:color w:val="auto"/>
          <w:spacing w:val="-10"/>
          <w:sz w:val="32"/>
        </w:rPr>
        <w:t>强化知识产权保护</w:t>
      </w:r>
      <w:r>
        <w:rPr>
          <w:rFonts w:hint="eastAsia" w:ascii="Times New Roman" w:hAnsi="Times New Roman" w:eastAsia="仿宋_GB2312" w:cs="Times New Roman"/>
          <w:color w:val="auto"/>
          <w:spacing w:val="-10"/>
          <w:sz w:val="32"/>
          <w:lang w:eastAsia="zh-CN"/>
        </w:rPr>
        <w:t>”（第</w:t>
      </w:r>
      <w:r>
        <w:rPr>
          <w:rFonts w:hint="eastAsia" w:ascii="Times New Roman" w:hAnsi="Times New Roman" w:eastAsia="仿宋_GB2312" w:cs="Times New Roman"/>
          <w:color w:val="auto"/>
          <w:spacing w:val="-10"/>
          <w:sz w:val="32"/>
          <w:lang w:val="en-US" w:eastAsia="zh-CN"/>
        </w:rPr>
        <w:t>9-10条</w:t>
      </w:r>
      <w:r>
        <w:rPr>
          <w:rFonts w:hint="eastAsia" w:ascii="Times New Roman" w:hAnsi="Times New Roman" w:eastAsia="仿宋_GB2312" w:cs="Times New Roman"/>
          <w:color w:val="auto"/>
          <w:spacing w:val="-10"/>
          <w:sz w:val="32"/>
          <w:lang w:eastAsia="zh-CN"/>
        </w:rPr>
        <w:t>）：</w:t>
      </w:r>
      <w:r>
        <w:rPr>
          <w:rFonts w:hint="eastAsia" w:eastAsia="仿宋_GB2312" w:cs="Times New Roman"/>
          <w:color w:val="auto"/>
          <w:spacing w:val="-10"/>
          <w:sz w:val="32"/>
          <w:lang w:eastAsia="zh-CN"/>
        </w:rPr>
        <w:t>加大对企业开展国内外知识产权维权工作的支持力度，对相关法律费用进行补贴；鼓励企业购买知识产权保险，按比例对实际支出保费进行补贴。</w:t>
      </w:r>
    </w:p>
    <w:p w14:paraId="19FD24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03" w:firstLineChars="200"/>
        <w:textAlignment w:val="auto"/>
        <w:rPr>
          <w:rFonts w:hint="eastAsia" w:eastAsia="仿宋_GB2312" w:cs="Times New Roman"/>
          <w:color w:val="auto"/>
          <w:spacing w:val="-10"/>
          <w:sz w:val="32"/>
          <w:lang w:eastAsia="zh-CN"/>
        </w:rPr>
      </w:pPr>
      <w:r>
        <w:rPr>
          <w:rFonts w:hint="eastAsia" w:ascii="Times New Roman" w:hAnsi="Times New Roman" w:eastAsia="仿宋_GB2312" w:cs="Times New Roman"/>
          <w:b/>
          <w:bCs/>
          <w:color w:val="auto"/>
          <w:spacing w:val="-10"/>
          <w:sz w:val="32"/>
          <w:lang w:eastAsia="zh-CN"/>
        </w:rPr>
        <w:t>第四</w:t>
      </w:r>
      <w:r>
        <w:rPr>
          <w:rFonts w:hint="eastAsia" w:eastAsia="仿宋_GB2312" w:cs="Times New Roman"/>
          <w:b/>
          <w:bCs/>
          <w:color w:val="auto"/>
          <w:spacing w:val="-10"/>
          <w:sz w:val="32"/>
          <w:lang w:eastAsia="zh-CN"/>
        </w:rPr>
        <w:t>部分</w:t>
      </w:r>
      <w:r>
        <w:rPr>
          <w:rFonts w:hint="eastAsia" w:ascii="Times New Roman" w:hAnsi="Times New Roman" w:eastAsia="仿宋_GB2312" w:cs="Times New Roman"/>
          <w:color w:val="auto"/>
          <w:spacing w:val="-10"/>
          <w:sz w:val="32"/>
          <w:lang w:eastAsia="zh-CN"/>
        </w:rPr>
        <w:t>“</w:t>
      </w:r>
      <w:r>
        <w:rPr>
          <w:rFonts w:ascii="Times New Roman" w:hAnsi="Times New Roman" w:eastAsia="仿宋_GB2312" w:cs="Times New Roman"/>
          <w:color w:val="auto"/>
          <w:spacing w:val="-10"/>
          <w:sz w:val="32"/>
        </w:rPr>
        <w:t>促进知识产权服务强链</w:t>
      </w:r>
      <w:r>
        <w:rPr>
          <w:rFonts w:hint="eastAsia" w:ascii="Times New Roman" w:hAnsi="Times New Roman" w:eastAsia="仿宋_GB2312" w:cs="Times New Roman"/>
          <w:color w:val="auto"/>
          <w:spacing w:val="-10"/>
          <w:sz w:val="32"/>
          <w:lang w:eastAsia="zh-CN"/>
        </w:rPr>
        <w:t>”（第</w:t>
      </w:r>
      <w:r>
        <w:rPr>
          <w:rFonts w:hint="eastAsia" w:ascii="Times New Roman" w:hAnsi="Times New Roman" w:eastAsia="仿宋_GB2312" w:cs="Times New Roman"/>
          <w:color w:val="auto"/>
          <w:spacing w:val="-10"/>
          <w:sz w:val="32"/>
          <w:lang w:val="en-US" w:eastAsia="zh-CN"/>
        </w:rPr>
        <w:t>11-13条</w:t>
      </w:r>
      <w:r>
        <w:rPr>
          <w:rFonts w:hint="eastAsia" w:ascii="Times New Roman" w:hAnsi="Times New Roman" w:eastAsia="仿宋_GB2312" w:cs="Times New Roman"/>
          <w:color w:val="auto"/>
          <w:spacing w:val="-10"/>
          <w:sz w:val="32"/>
          <w:lang w:eastAsia="zh-CN"/>
        </w:rPr>
        <w:t>）：</w:t>
      </w:r>
      <w:r>
        <w:rPr>
          <w:rFonts w:hint="eastAsia" w:eastAsia="仿宋_GB2312" w:cs="Times New Roman"/>
          <w:color w:val="auto"/>
          <w:spacing w:val="-10"/>
          <w:sz w:val="32"/>
          <w:lang w:eastAsia="zh-CN"/>
        </w:rPr>
        <w:t>加强对知识产权公共服务机构的支持，对示范、试点园区（学校），满足条件的公共服务网点，新建的技术与创新支持中心（</w:t>
      </w:r>
      <w:r>
        <w:rPr>
          <w:rFonts w:hint="eastAsia" w:eastAsia="仿宋_GB2312" w:cs="Times New Roman"/>
          <w:color w:val="auto"/>
          <w:spacing w:val="-10"/>
          <w:sz w:val="32"/>
          <w:lang w:val="en-US" w:eastAsia="zh-CN"/>
        </w:rPr>
        <w:t>TISC</w:t>
      </w:r>
      <w:r>
        <w:rPr>
          <w:rFonts w:hint="eastAsia" w:eastAsia="仿宋_GB2312" w:cs="Times New Roman"/>
          <w:color w:val="auto"/>
          <w:spacing w:val="-10"/>
          <w:sz w:val="32"/>
          <w:lang w:eastAsia="zh-CN"/>
        </w:rPr>
        <w:t>）及知识产权工作站等进行奖补。</w:t>
      </w:r>
    </w:p>
    <w:p w14:paraId="20012B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03" w:firstLineChars="200"/>
        <w:textAlignment w:val="auto"/>
        <w:rPr>
          <w:rFonts w:hint="eastAsia" w:ascii="Times New Roman" w:hAnsi="Times New Roman" w:eastAsia="仿宋_GB2312" w:cs="Times New Roman"/>
          <w:b w:val="0"/>
          <w:bCs w:val="0"/>
          <w:color w:val="auto"/>
          <w:spacing w:val="-10"/>
          <w:sz w:val="32"/>
          <w:szCs w:val="32"/>
          <w:shd w:val="clear" w:color="auto" w:fill="FFFFFF"/>
          <w:lang w:eastAsia="zh-CN"/>
        </w:rPr>
      </w:pPr>
      <w:r>
        <w:rPr>
          <w:rFonts w:hint="eastAsia" w:ascii="Times New Roman" w:hAnsi="Times New Roman" w:eastAsia="仿宋_GB2312" w:cs="Times New Roman"/>
          <w:b/>
          <w:bCs/>
          <w:color w:val="auto"/>
          <w:spacing w:val="-10"/>
          <w:sz w:val="32"/>
          <w:lang w:eastAsia="zh-CN"/>
        </w:rPr>
        <w:t>第五</w:t>
      </w:r>
      <w:r>
        <w:rPr>
          <w:rFonts w:hint="eastAsia" w:eastAsia="仿宋_GB2312" w:cs="Times New Roman"/>
          <w:b/>
          <w:bCs/>
          <w:color w:val="auto"/>
          <w:spacing w:val="-10"/>
          <w:sz w:val="32"/>
          <w:lang w:eastAsia="zh-CN"/>
        </w:rPr>
        <w:t>部分</w:t>
      </w:r>
      <w:r>
        <w:rPr>
          <w:rFonts w:hint="eastAsia" w:ascii="Times New Roman" w:hAnsi="Times New Roman" w:eastAsia="仿宋_GB2312" w:cs="Times New Roman"/>
          <w:color w:val="auto"/>
          <w:spacing w:val="-10"/>
          <w:sz w:val="32"/>
          <w:lang w:eastAsia="zh-CN"/>
        </w:rPr>
        <w:t>“</w:t>
      </w:r>
      <w:r>
        <w:rPr>
          <w:rFonts w:ascii="Times New Roman" w:hAnsi="Times New Roman" w:eastAsia="仿宋_GB2312" w:cs="Times New Roman"/>
          <w:color w:val="auto"/>
          <w:spacing w:val="-10"/>
          <w:sz w:val="32"/>
        </w:rPr>
        <w:t>大力发展知识产权支撑体系</w:t>
      </w:r>
      <w:r>
        <w:rPr>
          <w:rFonts w:hint="eastAsia" w:ascii="Times New Roman" w:hAnsi="Times New Roman" w:eastAsia="仿宋_GB2312" w:cs="Times New Roman"/>
          <w:color w:val="auto"/>
          <w:spacing w:val="-10"/>
          <w:sz w:val="32"/>
          <w:lang w:eastAsia="zh-CN"/>
        </w:rPr>
        <w:t>”（第</w:t>
      </w:r>
      <w:r>
        <w:rPr>
          <w:rFonts w:hint="eastAsia" w:ascii="Times New Roman" w:hAnsi="Times New Roman" w:eastAsia="仿宋_GB2312" w:cs="Times New Roman"/>
          <w:color w:val="auto"/>
          <w:spacing w:val="-10"/>
          <w:sz w:val="32"/>
          <w:lang w:val="en-US" w:eastAsia="zh-CN"/>
        </w:rPr>
        <w:t>14-18条</w:t>
      </w:r>
      <w:r>
        <w:rPr>
          <w:rFonts w:hint="eastAsia" w:ascii="Times New Roman" w:hAnsi="Times New Roman" w:eastAsia="仿宋_GB2312" w:cs="Times New Roman"/>
          <w:color w:val="auto"/>
          <w:spacing w:val="-10"/>
          <w:sz w:val="32"/>
          <w:lang w:eastAsia="zh-CN"/>
        </w:rPr>
        <w:t>）：</w:t>
      </w:r>
      <w:r>
        <w:rPr>
          <w:rFonts w:hint="eastAsia" w:eastAsia="仿宋_GB2312" w:cs="Times New Roman"/>
          <w:color w:val="auto"/>
          <w:spacing w:val="-10"/>
          <w:sz w:val="32"/>
          <w:lang w:eastAsia="zh-CN"/>
        </w:rPr>
        <w:t>对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pacing w:val="-10"/>
          <w:sz w:val="32"/>
          <w:szCs w:val="32"/>
          <w:highlight w:val="none"/>
          <w:shd w:val="clear" w:color="auto" w:fill="FFFFFF"/>
          <w:lang w:eastAsia="zh-CN"/>
        </w:rPr>
        <w:t>重点产业</w:t>
      </w:r>
      <w:r>
        <w:rPr>
          <w:rFonts w:hint="eastAsia" w:eastAsia="仿宋_GB2312" w:cs="Times New Roman"/>
          <w:b w:val="0"/>
          <w:bCs w:val="0"/>
          <w:color w:val="auto"/>
          <w:spacing w:val="-10"/>
          <w:sz w:val="32"/>
          <w:szCs w:val="32"/>
          <w:highlight w:val="none"/>
          <w:shd w:val="clear" w:color="auto" w:fill="FFFFFF"/>
          <w:lang w:eastAsia="zh-CN"/>
        </w:rPr>
        <w:t>及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pacing w:val="-10"/>
          <w:sz w:val="32"/>
          <w:szCs w:val="32"/>
          <w:highlight w:val="none"/>
          <w:shd w:val="clear" w:color="auto" w:fill="FFFFFF"/>
          <w:lang w:eastAsia="zh-CN"/>
        </w:rPr>
        <w:t>企业专利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pacing w:val="-10"/>
          <w:sz w:val="32"/>
          <w:szCs w:val="32"/>
          <w:highlight w:val="none"/>
          <w:shd w:val="clear" w:color="auto" w:fill="FFFFFF"/>
          <w:lang w:eastAsia="zh-CN"/>
        </w:rPr>
        <w:t>导航、</w:t>
      </w:r>
      <w:r>
        <w:rPr>
          <w:rFonts w:hint="eastAsia" w:eastAsia="仿宋_GB2312" w:cs="Times New Roman"/>
          <w:b w:val="0"/>
          <w:bCs w:val="0"/>
          <w:color w:val="auto"/>
          <w:spacing w:val="-10"/>
          <w:sz w:val="32"/>
          <w:szCs w:val="32"/>
          <w:highlight w:val="none"/>
          <w:shd w:val="clear" w:color="auto" w:fill="FFFFFF"/>
          <w:lang w:eastAsia="zh-CN"/>
        </w:rPr>
        <w:t>知识产权数据库购买、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pacing w:val="-10"/>
          <w:sz w:val="32"/>
          <w:szCs w:val="32"/>
          <w:shd w:val="clear" w:color="auto" w:fill="FFFFFF"/>
          <w:lang w:eastAsia="zh-CN"/>
        </w:rPr>
        <w:t>知识产权</w:t>
      </w:r>
      <w:r>
        <w:rPr>
          <w:rFonts w:hint="eastAsia" w:eastAsia="仿宋_GB2312" w:cs="Times New Roman"/>
          <w:b w:val="0"/>
          <w:bCs w:val="0"/>
          <w:color w:val="auto"/>
          <w:spacing w:val="-10"/>
          <w:sz w:val="32"/>
          <w:szCs w:val="32"/>
          <w:shd w:val="clear" w:color="auto" w:fill="FFFFFF"/>
          <w:lang w:eastAsia="zh-CN"/>
        </w:rPr>
        <w:t>质押融资及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pacing w:val="-10"/>
          <w:sz w:val="32"/>
          <w:szCs w:val="32"/>
          <w:shd w:val="clear" w:color="auto" w:fill="FFFFFF"/>
          <w:lang w:eastAsia="zh-CN"/>
        </w:rPr>
        <w:t>证券发行、知识产权运营</w:t>
      </w:r>
      <w:r>
        <w:rPr>
          <w:rFonts w:hint="eastAsia" w:eastAsia="仿宋_GB2312" w:cs="Times New Roman"/>
          <w:b w:val="0"/>
          <w:bCs w:val="0"/>
          <w:color w:val="auto"/>
          <w:spacing w:val="-10"/>
          <w:sz w:val="32"/>
          <w:szCs w:val="32"/>
          <w:shd w:val="clear" w:color="auto" w:fill="FFFFFF"/>
          <w:lang w:eastAsia="zh-CN"/>
        </w:rPr>
        <w:t>活动、知识产权人才等进行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pacing w:val="-10"/>
          <w:sz w:val="32"/>
          <w:szCs w:val="32"/>
          <w:shd w:val="clear" w:color="auto" w:fill="FFFFFF"/>
          <w:lang w:eastAsia="zh-CN"/>
        </w:rPr>
        <w:t>奖补。</w:t>
      </w:r>
    </w:p>
    <w:p w14:paraId="1EA8AC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03" w:firstLineChars="200"/>
        <w:textAlignment w:val="auto"/>
        <w:rPr>
          <w:rFonts w:hint="eastAsia" w:ascii="Times New Roman" w:hAnsi="Times New Roman" w:eastAsia="仿宋_GB2312" w:cs="Times New Roman"/>
          <w:b w:val="0"/>
          <w:bCs w:val="0"/>
          <w:color w:val="auto"/>
          <w:spacing w:val="-10"/>
          <w:sz w:val="32"/>
          <w:szCs w:val="32"/>
          <w:shd w:val="clear" w:color="auto" w:fill="FFFFFF"/>
          <w:lang w:eastAsia="zh-CN"/>
        </w:rPr>
      </w:pPr>
      <w:r>
        <w:rPr>
          <w:rFonts w:hint="eastAsia" w:eastAsia="仿宋_GB2312" w:cs="Times New Roman"/>
          <w:b/>
          <w:bCs/>
          <w:color w:val="auto"/>
          <w:spacing w:val="-10"/>
          <w:sz w:val="32"/>
          <w:szCs w:val="32"/>
          <w:shd w:val="clear" w:color="auto" w:fill="FFFFFF"/>
          <w:lang w:eastAsia="zh-CN"/>
        </w:rPr>
        <w:t>第六部分</w:t>
      </w:r>
      <w:r>
        <w:rPr>
          <w:rFonts w:hint="eastAsia" w:eastAsia="仿宋_GB2312" w:cs="Times New Roman"/>
          <w:b w:val="0"/>
          <w:bCs w:val="0"/>
          <w:color w:val="auto"/>
          <w:spacing w:val="-10"/>
          <w:sz w:val="32"/>
          <w:szCs w:val="32"/>
          <w:shd w:val="clear" w:color="auto" w:fill="FFFFFF"/>
          <w:lang w:eastAsia="zh-CN"/>
        </w:rPr>
        <w:t>“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pacing w:val="-10"/>
          <w:sz w:val="32"/>
          <w:szCs w:val="32"/>
          <w:shd w:val="clear" w:color="auto" w:fill="FFFFFF"/>
          <w:lang w:eastAsia="zh-CN"/>
        </w:rPr>
        <w:t>推进质量标准体系建设</w:t>
      </w:r>
      <w:r>
        <w:rPr>
          <w:rFonts w:hint="eastAsia" w:eastAsia="仿宋_GB2312" w:cs="Times New Roman"/>
          <w:b w:val="0"/>
          <w:bCs w:val="0"/>
          <w:color w:val="auto"/>
          <w:spacing w:val="-10"/>
          <w:sz w:val="32"/>
          <w:szCs w:val="32"/>
          <w:shd w:val="clear" w:color="auto" w:fill="FFFFFF"/>
          <w:lang w:eastAsia="zh-CN"/>
        </w:rPr>
        <w:t>”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pacing w:val="-10"/>
          <w:sz w:val="32"/>
          <w:szCs w:val="32"/>
          <w:shd w:val="clear" w:color="auto" w:fill="FFFFFF"/>
          <w:lang w:eastAsia="zh-CN"/>
        </w:rPr>
        <w:t>（</w:t>
      </w:r>
      <w:r>
        <w:rPr>
          <w:rFonts w:hint="eastAsia" w:eastAsia="仿宋_GB2312" w:cs="Times New Roman"/>
          <w:b w:val="0"/>
          <w:bCs w:val="0"/>
          <w:color w:val="auto"/>
          <w:spacing w:val="-10"/>
          <w:sz w:val="32"/>
          <w:szCs w:val="32"/>
          <w:shd w:val="clear" w:color="auto" w:fill="FFFFFF"/>
          <w:lang w:eastAsia="zh-CN"/>
        </w:rPr>
        <w:t>第</w:t>
      </w:r>
      <w:r>
        <w:rPr>
          <w:rFonts w:hint="eastAsia" w:eastAsia="仿宋_GB2312" w:cs="Times New Roman"/>
          <w:b w:val="0"/>
          <w:bCs w:val="0"/>
          <w:color w:val="auto"/>
          <w:spacing w:val="-10"/>
          <w:sz w:val="32"/>
          <w:szCs w:val="32"/>
          <w:shd w:val="clear" w:color="auto" w:fill="FFFFFF"/>
          <w:lang w:val="en-US" w:eastAsia="zh-CN"/>
        </w:rPr>
        <w:t>19-29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pacing w:val="-10"/>
          <w:sz w:val="32"/>
          <w:szCs w:val="32"/>
          <w:shd w:val="clear" w:color="auto" w:fill="FFFFFF"/>
          <w:lang w:eastAsia="zh-CN"/>
        </w:rPr>
        <w:t>条）</w:t>
      </w:r>
      <w:r>
        <w:rPr>
          <w:rFonts w:hint="eastAsia" w:eastAsia="仿宋_GB2312" w:cs="Times New Roman"/>
          <w:b w:val="0"/>
          <w:bCs w:val="0"/>
          <w:color w:val="auto"/>
          <w:spacing w:val="-10"/>
          <w:sz w:val="32"/>
          <w:szCs w:val="32"/>
          <w:shd w:val="clear" w:color="auto" w:fill="FFFFFF"/>
          <w:lang w:eastAsia="zh-CN"/>
        </w:rPr>
        <w:t>：</w:t>
      </w:r>
      <w:bookmarkStart w:id="0" w:name="_GoBack"/>
      <w:bookmarkEnd w:id="0"/>
      <w:r>
        <w:rPr>
          <w:rFonts w:hint="eastAsia" w:ascii="Times New Roman" w:hAnsi="Times New Roman" w:eastAsia="仿宋_GB2312" w:cs="Times New Roman"/>
          <w:b w:val="0"/>
          <w:bCs w:val="0"/>
          <w:color w:val="auto"/>
          <w:spacing w:val="-10"/>
          <w:sz w:val="32"/>
          <w:szCs w:val="32"/>
          <w:shd w:val="clear" w:color="auto" w:fill="FFFFFF"/>
          <w:lang w:eastAsia="zh-CN"/>
        </w:rPr>
        <w:t>质量部分5条，支持企事业单位加强质量管理、品牌、诚信、创新、能力建设。鼓励争创中国、江苏省、苏州市、吴中区各级质量奖；鼓励申报“江苏精品”、“苏州制造”、节能、低碳、绿色、内外贸“同线同标同质”产品等品牌认证；鼓励推进质量诚信体系建设，积极申报江苏省质量信用A、AA、AAA等级评定；鼓励开展质量微创新；鼓励提升壮大检验检测认证能力。标准部分6条，支持企事业单位参与标准化建设。鼓励主导或参与制修订国际标准、国家标准、行业标准、地方标准、团体标准；鼓励组织争创标准创新贡献奖；鼓励积极开展国家级、省级标准化试点；鼓励积极承担国际、国内专业标准化技术委员会、分技术委员会秘书处、工作组等；鼓励标准化服务机构、平台加强对服务我区企事业单位的标准化专业服务；鼓励积极承办国际、国内重大标准化活动；鼓励标准化人才积极担任国际专业标准化技术组织负责人、注册专家，争取中国标准创新贡献奖个人奖。</w:t>
      </w:r>
    </w:p>
    <w:p w14:paraId="10E5FE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03" w:firstLineChars="200"/>
        <w:textAlignment w:val="auto"/>
        <w:rPr>
          <w:rFonts w:hint="eastAsia" w:ascii="Times New Roman" w:hAnsi="Times New Roman" w:eastAsia="仿宋_GB2312" w:cs="Times New Roman"/>
          <w:color w:val="auto"/>
          <w:spacing w:val="-10"/>
          <w:sz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b/>
          <w:bCs/>
          <w:color w:val="auto"/>
          <w:spacing w:val="-10"/>
          <w:sz w:val="32"/>
          <w:lang w:eastAsia="zh-CN"/>
        </w:rPr>
        <w:t>第七部分</w:t>
      </w:r>
      <w:r>
        <w:rPr>
          <w:rFonts w:hint="eastAsia" w:ascii="Times New Roman" w:hAnsi="Times New Roman" w:eastAsia="仿宋_GB2312" w:cs="Times New Roman"/>
          <w:color w:val="auto"/>
          <w:spacing w:val="-10"/>
          <w:sz w:val="32"/>
          <w:lang w:eastAsia="zh-CN"/>
        </w:rPr>
        <w:t>“附则”（第</w:t>
      </w:r>
      <w:r>
        <w:rPr>
          <w:rFonts w:hint="eastAsia" w:eastAsia="仿宋_GB2312" w:cs="Times New Roman"/>
          <w:color w:val="auto"/>
          <w:spacing w:val="-10"/>
          <w:sz w:val="32"/>
          <w:lang w:val="en-US" w:eastAsia="zh-CN"/>
        </w:rPr>
        <w:t>30-31</w:t>
      </w:r>
      <w:r>
        <w:rPr>
          <w:rFonts w:hint="eastAsia" w:ascii="Times New Roman" w:hAnsi="Times New Roman" w:eastAsia="仿宋_GB2312" w:cs="Times New Roman"/>
          <w:color w:val="auto"/>
          <w:spacing w:val="-10"/>
          <w:sz w:val="32"/>
          <w:lang w:val="en-US" w:eastAsia="zh-CN"/>
        </w:rPr>
        <w:t>条</w:t>
      </w:r>
      <w:r>
        <w:rPr>
          <w:rFonts w:hint="eastAsia" w:ascii="Times New Roman" w:hAnsi="Times New Roman" w:eastAsia="仿宋_GB2312" w:cs="Times New Roman"/>
          <w:color w:val="auto"/>
          <w:spacing w:val="-10"/>
          <w:sz w:val="32"/>
          <w:lang w:eastAsia="zh-CN"/>
        </w:rPr>
        <w:t>），包括明确政策出资方式以及</w:t>
      </w:r>
      <w:r>
        <w:rPr>
          <w:rFonts w:hint="eastAsia" w:eastAsia="仿宋_GB2312" w:cs="Times New Roman"/>
          <w:color w:val="auto"/>
          <w:spacing w:val="-10"/>
          <w:sz w:val="32"/>
          <w:lang w:eastAsia="zh-CN"/>
        </w:rPr>
        <w:t>实施</w:t>
      </w:r>
      <w:r>
        <w:rPr>
          <w:rFonts w:hint="eastAsia" w:ascii="Times New Roman" w:hAnsi="Times New Roman" w:eastAsia="仿宋_GB2312" w:cs="Times New Roman"/>
          <w:color w:val="auto"/>
          <w:spacing w:val="-10"/>
          <w:sz w:val="32"/>
          <w:lang w:eastAsia="zh-CN"/>
        </w:rPr>
        <w:t>期限等。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990B058C-4689-4661-9CB5-9FC3A3E9000B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2" w:fontKey="{B1F627A8-7944-4345-A351-ABFC1D8ADB65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9B92E17D-61F0-4826-947F-2034B7DCE9C7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F4F7D65"/>
    <w:rsid w:val="0F4F7D65"/>
    <w:rsid w:val="7BE229DF"/>
    <w:rsid w:val="7DF45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718</Words>
  <Characters>746</Characters>
  <Lines>0</Lines>
  <Paragraphs>0</Paragraphs>
  <TotalTime>0</TotalTime>
  <ScaleCrop>false</ScaleCrop>
  <LinksUpToDate>false</LinksUpToDate>
  <CharactersWithSpaces>746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2025-09-15T08:51:00Z</dcterms:created>
  <dc:creator>鄦</dc:creator>
  <cp:lastModifiedBy>鄦</cp:lastModifiedBy>
  <dcterms:modified xsi:type="dcterms:W3CDTF">2025-09-16T08:27:59Z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77B9144556A44DCBAC48C3C47C6B2CDC_11</vt:lpwstr>
  </property>
  <property fmtid="{D5CDD505-2E9C-101B-9397-08002B2CF9AE}" pid="4" name="KSOTemplateDocerSaveRecord">
    <vt:lpwstr>eyJoZGlkIjoiN2VkNTU2ZTFiMjRiYjI5ZmQwYTJjYmIzZjJmYTc2M2IiLCJ1c2VySWQiOiI2MjUwNjE3MDQifQ==</vt:lpwstr>
  </property>
</Properties>
</file>