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1435D9">
      <w:pPr>
        <w:spacing w:line="620" w:lineRule="exact"/>
        <w:jc w:val="center"/>
        <w:rPr>
          <w:b/>
          <w:color w:val="FF0000"/>
          <w:spacing w:val="-20"/>
          <w:sz w:val="62"/>
          <w:szCs w:val="62"/>
        </w:rPr>
      </w:pPr>
      <w:r>
        <w:rPr>
          <w:b/>
          <w:color w:val="FF0000"/>
          <w:spacing w:val="-20"/>
          <w:sz w:val="62"/>
          <w:szCs w:val="62"/>
        </w:rPr>
        <w:drawing>
          <wp:anchor distT="0" distB="0" distL="114300" distR="114300" simplePos="0" relativeHeight="251659264" behindDoc="1" locked="0" layoutInCell="1" allowOverlap="1">
            <wp:simplePos x="0" y="0"/>
            <wp:positionH relativeFrom="page">
              <wp:align>left</wp:align>
            </wp:positionH>
            <wp:positionV relativeFrom="paragraph">
              <wp:posOffset>-1271270</wp:posOffset>
            </wp:positionV>
            <wp:extent cx="7559675" cy="9286875"/>
            <wp:effectExtent l="0" t="0" r="3175" b="9525"/>
            <wp:wrapNone/>
            <wp:docPr id="2012167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16783" name="图片 1"/>
                    <pic:cNvPicPr>
                      <a:picLocks noChangeAspect="1" noChangeArrowheads="1"/>
                    </pic:cNvPicPr>
                  </pic:nvPicPr>
                  <pic:blipFill>
                    <a:blip r:embed="rId10" cstate="print">
                      <a:extLst>
                        <a:ext uri="{28A0092B-C50C-407E-A947-70E740481C1C}">
                          <a14:useLocalDpi xmlns:a14="http://schemas.microsoft.com/office/drawing/2010/main" val="0"/>
                        </a:ext>
                      </a:extLst>
                    </a:blip>
                    <a:srcRect b="13136"/>
                    <a:stretch>
                      <a:fillRect/>
                    </a:stretch>
                  </pic:blipFill>
                  <pic:spPr>
                    <a:xfrm>
                      <a:off x="0" y="0"/>
                      <a:ext cx="7560000" cy="9287274"/>
                    </a:xfrm>
                    <a:prstGeom prst="rect">
                      <a:avLst/>
                    </a:prstGeom>
                    <a:noFill/>
                    <a:ln>
                      <a:noFill/>
                    </a:ln>
                  </pic:spPr>
                </pic:pic>
              </a:graphicData>
            </a:graphic>
          </wp:anchor>
        </w:drawing>
      </w:r>
    </w:p>
    <w:p w14:paraId="0D62AD50">
      <w:pPr>
        <w:spacing w:line="620" w:lineRule="exact"/>
        <w:jc w:val="center"/>
        <w:rPr>
          <w:spacing w:val="-20"/>
          <w:sz w:val="56"/>
          <w:szCs w:val="56"/>
        </w:rPr>
      </w:pPr>
    </w:p>
    <w:p w14:paraId="1D9F839F">
      <w:pPr>
        <w:spacing w:line="620" w:lineRule="exact"/>
        <w:jc w:val="center"/>
        <w:rPr>
          <w:spacing w:val="-20"/>
          <w:sz w:val="56"/>
          <w:szCs w:val="56"/>
        </w:rPr>
      </w:pPr>
    </w:p>
    <w:p w14:paraId="0B892F06">
      <w:pPr>
        <w:spacing w:line="620" w:lineRule="exact"/>
        <w:jc w:val="center"/>
        <w:rPr>
          <w:spacing w:val="-20"/>
          <w:sz w:val="56"/>
          <w:szCs w:val="56"/>
        </w:rPr>
      </w:pPr>
    </w:p>
    <w:p w14:paraId="11A3FA25">
      <w:pPr>
        <w:spacing w:line="620" w:lineRule="exact"/>
        <w:jc w:val="center"/>
        <w:rPr>
          <w:rFonts w:eastAsia="仿宋_GB2312"/>
          <w:sz w:val="32"/>
          <w:szCs w:val="32"/>
        </w:rPr>
      </w:pPr>
    </w:p>
    <w:p w14:paraId="1721C45B">
      <w:pPr>
        <w:spacing w:line="620" w:lineRule="exact"/>
        <w:jc w:val="center"/>
        <w:rPr>
          <w:rFonts w:eastAsia="仿宋_GB2312"/>
          <w:sz w:val="32"/>
          <w:szCs w:val="32"/>
        </w:rPr>
      </w:pPr>
    </w:p>
    <w:p w14:paraId="5F1C8B00">
      <w:pPr>
        <w:spacing w:line="620" w:lineRule="exact"/>
        <w:jc w:val="center"/>
        <w:rPr>
          <w:rFonts w:eastAsia="仿宋_GB2312"/>
          <w:sz w:val="32"/>
          <w:szCs w:val="32"/>
        </w:rPr>
      </w:pPr>
    </w:p>
    <w:p w14:paraId="28DDBEDD">
      <w:pPr>
        <w:spacing w:before="62" w:beforeLines="20" w:line="620" w:lineRule="exact"/>
        <w:jc w:val="center"/>
        <w:rPr>
          <w:rFonts w:eastAsia="仿宋_GB2312"/>
          <w:sz w:val="32"/>
          <w:szCs w:val="32"/>
        </w:rPr>
      </w:pPr>
      <w:r>
        <w:rPr>
          <w:rFonts w:eastAsia="仿宋_GB2312"/>
          <w:sz w:val="32"/>
          <w:szCs w:val="32"/>
        </w:rPr>
        <w:t>吴</w:t>
      </w:r>
      <w:r>
        <w:rPr>
          <w:rFonts w:hint="eastAsia" w:eastAsia="仿宋_GB2312"/>
          <w:sz w:val="32"/>
          <w:szCs w:val="32"/>
        </w:rPr>
        <w:t>政办</w:t>
      </w:r>
      <w:r>
        <w:rPr>
          <w:rFonts w:eastAsia="仿宋_GB2312"/>
          <w:sz w:val="32"/>
          <w:szCs w:val="32"/>
        </w:rPr>
        <w:t>〔20</w:t>
      </w:r>
      <w:r>
        <w:rPr>
          <w:rFonts w:hint="eastAsia" w:eastAsia="仿宋_GB2312"/>
          <w:sz w:val="32"/>
          <w:szCs w:val="32"/>
        </w:rPr>
        <w:t>26</w:t>
      </w:r>
      <w:r>
        <w:rPr>
          <w:rFonts w:eastAsia="仿宋_GB2312"/>
          <w:sz w:val="32"/>
          <w:szCs w:val="32"/>
        </w:rPr>
        <w:t>〕</w:t>
      </w:r>
      <w:r>
        <w:rPr>
          <w:rFonts w:hint="eastAsia" w:eastAsia="仿宋_GB2312"/>
          <w:sz w:val="32"/>
          <w:szCs w:val="32"/>
          <w:lang w:val="en-US" w:eastAsia="zh-CN"/>
        </w:rPr>
        <w:t>15</w:t>
      </w:r>
      <w:r>
        <w:rPr>
          <w:rFonts w:eastAsia="仿宋_GB2312"/>
          <w:sz w:val="32"/>
          <w:szCs w:val="32"/>
        </w:rPr>
        <w:t>号</w:t>
      </w:r>
    </w:p>
    <w:p w14:paraId="5DEFFB47">
      <w:pPr>
        <w:spacing w:line="440" w:lineRule="exact"/>
        <w:rPr>
          <w:rFonts w:eastAsia="仿宋_GB2312"/>
          <w:color w:val="FF0000"/>
          <w:sz w:val="32"/>
          <w:szCs w:val="32"/>
          <w:u w:val="thick"/>
        </w:rPr>
      </w:pPr>
    </w:p>
    <w:p w14:paraId="5A87A836">
      <w:pPr>
        <w:jc w:val="center"/>
        <w:rPr>
          <w:rFonts w:eastAsia="方正小标宋_GBK"/>
          <w:spacing w:val="-10"/>
          <w:sz w:val="32"/>
          <w:szCs w:val="32"/>
        </w:rPr>
      </w:pPr>
    </w:p>
    <w:p w14:paraId="21724A86">
      <w:pPr>
        <w:spacing w:line="540" w:lineRule="exact"/>
        <w:jc w:val="center"/>
        <w:rPr>
          <w:rFonts w:eastAsia="方正小标宋_GBK"/>
          <w:spacing w:val="-10"/>
          <w:sz w:val="44"/>
        </w:rPr>
      </w:pPr>
      <w:r>
        <w:rPr>
          <w:rFonts w:hint="eastAsia" w:eastAsia="方正小标宋_GBK"/>
          <w:spacing w:val="-10"/>
          <w:sz w:val="44"/>
        </w:rPr>
        <w:t>区政府办公室关于批转吴中区支持区属公立医院改革与高质量发展财政补助办法的通知</w:t>
      </w:r>
    </w:p>
    <w:p w14:paraId="30CDCAD7">
      <w:pPr>
        <w:spacing w:line="540" w:lineRule="exact"/>
        <w:jc w:val="center"/>
        <w:rPr>
          <w:rFonts w:hint="eastAsia" w:ascii="仿宋_GB2312" w:eastAsia="仿宋_GB2312"/>
          <w:spacing w:val="-10"/>
          <w:sz w:val="32"/>
          <w:szCs w:val="32"/>
        </w:rPr>
      </w:pPr>
    </w:p>
    <w:p w14:paraId="38A1AECD">
      <w:pPr>
        <w:spacing w:line="540" w:lineRule="exact"/>
        <w:rPr>
          <w:rFonts w:ascii="仿宋_GB2312" w:eastAsia="仿宋_GB2312"/>
          <w:spacing w:val="-11"/>
          <w:sz w:val="32"/>
        </w:rPr>
      </w:pPr>
      <w:r>
        <w:rPr>
          <w:rFonts w:hint="eastAsia" w:ascii="仿宋_GB2312" w:eastAsia="仿宋_GB2312"/>
          <w:color w:val="000000"/>
          <w:spacing w:val="-11"/>
          <w:sz w:val="32"/>
          <w:szCs w:val="32"/>
        </w:rPr>
        <w:t>各开发区、太湖新城管委会，各镇、街道（场）政府（办事处），区级机关各部门、公司：</w:t>
      </w:r>
    </w:p>
    <w:p w14:paraId="499C8387">
      <w:pPr>
        <w:spacing w:line="540" w:lineRule="exact"/>
        <w:ind w:firstLine="596" w:firstLineChars="200"/>
        <w:rPr>
          <w:rFonts w:eastAsia="仿宋_GB2312"/>
          <w:spacing w:val="-11"/>
          <w:sz w:val="32"/>
          <w:szCs w:val="32"/>
        </w:rPr>
      </w:pPr>
      <w:r>
        <w:rPr>
          <w:rFonts w:hint="eastAsia" w:eastAsia="仿宋_GB2312"/>
          <w:spacing w:val="-11"/>
          <w:sz w:val="32"/>
          <w:szCs w:val="32"/>
        </w:rPr>
        <w:t>经区政府研究，现将区财政局、卫健委牵头制定的《吴中区支持区属公立医院改革与高质量发展财政补助办法》批转给你们，请认真贯彻执行。</w:t>
      </w:r>
    </w:p>
    <w:p w14:paraId="2591DBEB">
      <w:pPr>
        <w:spacing w:line="540" w:lineRule="exact"/>
        <w:ind w:firstLine="596" w:firstLineChars="200"/>
        <w:rPr>
          <w:rFonts w:eastAsia="仿宋_GB2312"/>
          <w:spacing w:val="-11"/>
          <w:sz w:val="32"/>
          <w:szCs w:val="32"/>
        </w:rPr>
      </w:pPr>
    </w:p>
    <w:p w14:paraId="763FE7E7">
      <w:pPr>
        <w:spacing w:line="540" w:lineRule="exact"/>
        <w:ind w:firstLine="596" w:firstLineChars="200"/>
        <w:rPr>
          <w:rFonts w:hint="eastAsia" w:eastAsia="仿宋_GB2312"/>
          <w:spacing w:val="-11"/>
          <w:sz w:val="32"/>
          <w:szCs w:val="32"/>
        </w:rPr>
      </w:pPr>
    </w:p>
    <w:p w14:paraId="573A36AE">
      <w:pPr>
        <w:widowControl/>
        <w:adjustRightInd w:val="0"/>
        <w:snapToGrid w:val="0"/>
        <w:spacing w:line="540" w:lineRule="exact"/>
        <w:ind w:firstLine="640"/>
        <w:jc w:val="right"/>
        <w:rPr>
          <w:rFonts w:eastAsia="仿宋_GB2312"/>
          <w:spacing w:val="-10"/>
          <w:sz w:val="32"/>
          <w:szCs w:val="32"/>
        </w:rPr>
      </w:pPr>
      <w:r>
        <w:rPr>
          <w:rFonts w:eastAsia="仿宋_GB2312"/>
          <w:spacing w:val="-10"/>
          <w:sz w:val="32"/>
          <w:szCs w:val="32"/>
        </w:rPr>
        <w:t>苏州市吴中区人民政府办公室</w:t>
      </w:r>
    </w:p>
    <w:p w14:paraId="40E2961C">
      <w:pPr>
        <w:widowControl/>
        <w:adjustRightInd w:val="0"/>
        <w:snapToGrid w:val="0"/>
        <w:spacing w:line="540" w:lineRule="exact"/>
        <w:ind w:right="840" w:rightChars="400"/>
        <w:jc w:val="right"/>
        <w:rPr>
          <w:rFonts w:eastAsia="仿宋_GB2312"/>
          <w:spacing w:val="-10"/>
          <w:sz w:val="32"/>
          <w:szCs w:val="32"/>
        </w:rPr>
      </w:pPr>
      <w:r>
        <w:rPr>
          <w:rFonts w:eastAsia="仿宋_GB2312"/>
          <w:spacing w:val="-10"/>
          <w:sz w:val="32"/>
          <w:szCs w:val="32"/>
        </w:rPr>
        <w:t>202</w:t>
      </w:r>
      <w:r>
        <w:rPr>
          <w:rFonts w:hint="eastAsia" w:eastAsia="仿宋_GB2312"/>
          <w:spacing w:val="-10"/>
          <w:sz w:val="32"/>
          <w:szCs w:val="32"/>
        </w:rPr>
        <w:t>6</w:t>
      </w:r>
      <w:r>
        <w:rPr>
          <w:rFonts w:eastAsia="仿宋_GB2312"/>
          <w:spacing w:val="-10"/>
          <w:sz w:val="32"/>
          <w:szCs w:val="32"/>
        </w:rPr>
        <w:t>年</w:t>
      </w:r>
      <w:r>
        <w:rPr>
          <w:rFonts w:hint="eastAsia" w:eastAsia="仿宋_GB2312"/>
          <w:spacing w:val="-10"/>
          <w:sz w:val="32"/>
          <w:szCs w:val="32"/>
        </w:rPr>
        <w:t>4</w:t>
      </w:r>
      <w:r>
        <w:rPr>
          <w:rFonts w:eastAsia="仿宋_GB2312"/>
          <w:spacing w:val="-10"/>
          <w:sz w:val="32"/>
          <w:szCs w:val="32"/>
        </w:rPr>
        <w:t>月</w:t>
      </w:r>
      <w:r>
        <w:rPr>
          <w:rFonts w:hint="eastAsia" w:eastAsia="仿宋_GB2312"/>
          <w:spacing w:val="-10"/>
          <w:sz w:val="32"/>
          <w:szCs w:val="32"/>
          <w:lang w:val="en-US" w:eastAsia="zh-CN"/>
        </w:rPr>
        <w:t>17</w:t>
      </w:r>
      <w:r>
        <w:rPr>
          <w:rFonts w:eastAsia="仿宋_GB2312"/>
          <w:spacing w:val="-10"/>
          <w:sz w:val="32"/>
          <w:szCs w:val="32"/>
        </w:rPr>
        <w:t>日</w:t>
      </w:r>
      <w:r>
        <w:rPr>
          <w:rFonts w:eastAsia="仿宋_GB2312"/>
          <w:spacing w:val="-10"/>
          <w:sz w:val="32"/>
          <w:szCs w:val="32"/>
        </w:rPr>
        <w:br w:type="page"/>
      </w:r>
    </w:p>
    <w:p w14:paraId="76187B8A">
      <w:pPr>
        <w:spacing w:line="560" w:lineRule="exact"/>
        <w:jc w:val="center"/>
        <w:rPr>
          <w:rFonts w:eastAsia="方正小标宋简体"/>
          <w:sz w:val="44"/>
          <w:szCs w:val="44"/>
        </w:rPr>
      </w:pPr>
      <w:bookmarkStart w:id="0" w:name="_GoBack"/>
      <w:bookmarkEnd w:id="0"/>
      <w:r>
        <w:rPr>
          <w:rFonts w:eastAsia="方正小标宋简体"/>
          <w:sz w:val="44"/>
          <w:szCs w:val="44"/>
        </w:rPr>
        <w:t>吴中区支持区属公立医院改革与高质量</w:t>
      </w:r>
    </w:p>
    <w:p w14:paraId="244844C3">
      <w:pPr>
        <w:spacing w:line="560" w:lineRule="exact"/>
        <w:jc w:val="center"/>
        <w:rPr>
          <w:rFonts w:eastAsia="方正小标宋简体"/>
          <w:sz w:val="44"/>
          <w:szCs w:val="44"/>
        </w:rPr>
      </w:pPr>
      <w:r>
        <w:rPr>
          <w:rFonts w:eastAsia="方正小标宋简体"/>
          <w:sz w:val="44"/>
          <w:szCs w:val="44"/>
        </w:rPr>
        <w:t>发展财政补助办法</w:t>
      </w:r>
    </w:p>
    <w:p w14:paraId="46838721">
      <w:pPr>
        <w:spacing w:line="560" w:lineRule="exact"/>
        <w:jc w:val="center"/>
        <w:rPr>
          <w:rFonts w:eastAsia="楷体_GB2312"/>
          <w:sz w:val="32"/>
          <w:szCs w:val="32"/>
        </w:rPr>
      </w:pPr>
    </w:p>
    <w:p w14:paraId="3EE3E5AA">
      <w:pPr>
        <w:spacing w:line="560" w:lineRule="exact"/>
        <w:ind w:firstLine="596" w:firstLineChars="200"/>
        <w:rPr>
          <w:rFonts w:eastAsia="仿宋_GB2312"/>
          <w:bCs/>
          <w:spacing w:val="-11"/>
          <w:sz w:val="32"/>
          <w:szCs w:val="32"/>
        </w:rPr>
      </w:pPr>
      <w:r>
        <w:rPr>
          <w:rFonts w:eastAsia="仿宋_GB2312"/>
          <w:bCs/>
          <w:spacing w:val="-11"/>
          <w:sz w:val="32"/>
          <w:szCs w:val="32"/>
        </w:rPr>
        <w:t>为深化全区医疗卫生体制改革，强化财政投入对公立医院高质量发展的支持引导作用，健全以人民健康为中心、维护公益性、调动积极性、保障可持续的公立医院运行机制，全面提升公立医院医疗卫生服务综合能力，促进公立医院健康可持续发展，坚持投资于物和投资于人紧密结合，更好地为人民群众提供优质高效的医疗卫生服务，制定本办法。</w:t>
      </w:r>
    </w:p>
    <w:p w14:paraId="47EE7B15">
      <w:pPr>
        <w:spacing w:line="560" w:lineRule="exact"/>
        <w:ind w:firstLine="596" w:firstLineChars="200"/>
        <w:rPr>
          <w:rFonts w:eastAsia="黑体"/>
          <w:bCs/>
          <w:spacing w:val="-11"/>
          <w:sz w:val="32"/>
          <w:szCs w:val="32"/>
        </w:rPr>
      </w:pPr>
      <w:r>
        <w:rPr>
          <w:rFonts w:eastAsia="黑体"/>
          <w:bCs/>
          <w:spacing w:val="-11"/>
          <w:sz w:val="32"/>
          <w:szCs w:val="32"/>
        </w:rPr>
        <w:t>一、基本原则</w:t>
      </w:r>
    </w:p>
    <w:p w14:paraId="22F4A3AE">
      <w:pPr>
        <w:spacing w:line="560" w:lineRule="exact"/>
        <w:ind w:firstLine="596" w:firstLineChars="200"/>
        <w:rPr>
          <w:rFonts w:eastAsia="仿宋_GB2312"/>
          <w:bCs/>
          <w:spacing w:val="-11"/>
          <w:sz w:val="32"/>
          <w:szCs w:val="32"/>
        </w:rPr>
      </w:pPr>
      <w:r>
        <w:rPr>
          <w:rFonts w:eastAsia="楷体_GB2312"/>
          <w:bCs/>
          <w:spacing w:val="-11"/>
          <w:sz w:val="32"/>
          <w:szCs w:val="32"/>
        </w:rPr>
        <w:t>（一）突出公益属性，体现“效果”导向。</w:t>
      </w:r>
      <w:r>
        <w:rPr>
          <w:rFonts w:eastAsia="仿宋_GB2312"/>
          <w:bCs/>
          <w:spacing w:val="-11"/>
          <w:sz w:val="32"/>
          <w:szCs w:val="32"/>
        </w:rPr>
        <w:t>坚持公立医院公益性，全面落实政府投入责任，支持公立医院履行基本医疗、突发公共卫生事件应急处置、医疗救助等公益性职能，实现医疗服务的公平性与可及性。</w:t>
      </w:r>
    </w:p>
    <w:p w14:paraId="1E3815E4">
      <w:pPr>
        <w:spacing w:line="560" w:lineRule="exact"/>
        <w:ind w:firstLine="596" w:firstLineChars="200"/>
        <w:rPr>
          <w:rFonts w:eastAsia="仿宋_GB2312"/>
          <w:bCs/>
          <w:spacing w:val="-11"/>
          <w:sz w:val="32"/>
          <w:szCs w:val="32"/>
        </w:rPr>
      </w:pPr>
      <w:r>
        <w:rPr>
          <w:rFonts w:eastAsia="楷体_GB2312"/>
          <w:bCs/>
          <w:spacing w:val="-11"/>
          <w:sz w:val="32"/>
          <w:szCs w:val="32"/>
        </w:rPr>
        <w:t>（二）强化可持续性，追求“效益”最优。</w:t>
      </w:r>
      <w:r>
        <w:rPr>
          <w:rFonts w:eastAsia="仿宋_GB2312"/>
          <w:bCs/>
          <w:spacing w:val="-11"/>
          <w:sz w:val="32"/>
          <w:szCs w:val="32"/>
        </w:rPr>
        <w:t>紧密适应经济社会发展水平，为群众提供适宜服务、适度保障，巩固破除以药补医改革成果，重点补助政策性改革支出、承担政府指令性公共卫生任务等，实现医疗服务的可持续性。</w:t>
      </w:r>
    </w:p>
    <w:p w14:paraId="68AC90D6">
      <w:pPr>
        <w:spacing w:line="560" w:lineRule="exact"/>
        <w:ind w:firstLine="596" w:firstLineChars="200"/>
        <w:rPr>
          <w:rFonts w:eastAsia="仿宋_GB2312"/>
          <w:spacing w:val="-11"/>
          <w:sz w:val="32"/>
          <w:szCs w:val="32"/>
        </w:rPr>
      </w:pPr>
      <w:r>
        <w:rPr>
          <w:rFonts w:eastAsia="楷体_GB2312"/>
          <w:bCs/>
          <w:spacing w:val="-11"/>
          <w:sz w:val="32"/>
          <w:szCs w:val="32"/>
        </w:rPr>
        <w:t>（三）鼓励错位式发展，提升“效率”水平。</w:t>
      </w:r>
      <w:r>
        <w:rPr>
          <w:rFonts w:eastAsia="仿宋_GB2312"/>
          <w:spacing w:val="-11"/>
          <w:sz w:val="32"/>
          <w:szCs w:val="32"/>
        </w:rPr>
        <w:t>坚持“优绩优补”的鲜明导向，强化财政补助与公立医院绩效考核结果挂钩关系。充分发挥财政资金对公立医院高质量发展的引领作用，通过精准投入和政策引导，鼓励发展特色诊疗服务，形成与上级医院的错位发展格局。</w:t>
      </w:r>
    </w:p>
    <w:p w14:paraId="3F3D46BF">
      <w:pPr>
        <w:spacing w:line="560" w:lineRule="exact"/>
        <w:ind w:firstLine="596" w:firstLineChars="200"/>
        <w:rPr>
          <w:rFonts w:eastAsia="仿宋_GB2312"/>
          <w:bCs/>
          <w:spacing w:val="-11"/>
          <w:sz w:val="32"/>
          <w:szCs w:val="32"/>
        </w:rPr>
      </w:pPr>
      <w:r>
        <w:rPr>
          <w:rFonts w:eastAsia="楷体_GB2312"/>
          <w:bCs/>
          <w:spacing w:val="-11"/>
          <w:sz w:val="32"/>
          <w:szCs w:val="32"/>
        </w:rPr>
        <w:t>（四）撬动市场化运营，精准“效能”驱动。</w:t>
      </w:r>
      <w:r>
        <w:rPr>
          <w:rFonts w:eastAsia="仿宋_GB2312"/>
          <w:bCs/>
          <w:spacing w:val="-11"/>
          <w:sz w:val="32"/>
          <w:szCs w:val="32"/>
        </w:rPr>
        <w:t>坚持尽力而为、量力而行，</w:t>
      </w:r>
      <w:r>
        <w:rPr>
          <w:rFonts w:eastAsia="仿宋_GB2312"/>
          <w:spacing w:val="-11"/>
          <w:sz w:val="32"/>
          <w:szCs w:val="32"/>
        </w:rPr>
        <w:t>逐步化解符合规定的长期债务，让公立医院在市场化运营中轻装上阵。坚持以居民就医获得感为导向，通过财政补助向</w:t>
      </w:r>
      <w:r>
        <w:rPr>
          <w:rFonts w:eastAsia="仿宋_GB2312"/>
          <w:bCs/>
          <w:spacing w:val="-11"/>
          <w:sz w:val="32"/>
          <w:szCs w:val="32"/>
        </w:rPr>
        <w:t>优化医疗资源配置、支持紧密型县域医共体建设、</w:t>
      </w:r>
      <w:r>
        <w:rPr>
          <w:rFonts w:eastAsia="仿宋_GB2312"/>
          <w:spacing w:val="-11"/>
          <w:sz w:val="32"/>
          <w:szCs w:val="32"/>
        </w:rPr>
        <w:t>推动分级诊疗体系建设等领域倾斜，激发公立医院市场化运营活力。</w:t>
      </w:r>
    </w:p>
    <w:p w14:paraId="2CCFE188">
      <w:pPr>
        <w:spacing w:line="560" w:lineRule="exact"/>
        <w:ind w:firstLine="596" w:firstLineChars="200"/>
        <w:rPr>
          <w:rFonts w:eastAsia="黑体"/>
          <w:bCs/>
          <w:spacing w:val="-11"/>
          <w:sz w:val="32"/>
          <w:szCs w:val="32"/>
        </w:rPr>
      </w:pPr>
      <w:r>
        <w:rPr>
          <w:rFonts w:eastAsia="黑体"/>
          <w:bCs/>
          <w:spacing w:val="-11"/>
          <w:sz w:val="32"/>
          <w:szCs w:val="32"/>
        </w:rPr>
        <w:t>二、补助内容和标准</w:t>
      </w:r>
    </w:p>
    <w:p w14:paraId="3E0BF792">
      <w:pPr>
        <w:spacing w:line="560" w:lineRule="exact"/>
        <w:ind w:firstLine="596" w:firstLineChars="200"/>
        <w:rPr>
          <w:rFonts w:eastAsia="楷体_GB2312"/>
          <w:bCs/>
          <w:spacing w:val="-11"/>
          <w:sz w:val="32"/>
          <w:szCs w:val="32"/>
        </w:rPr>
      </w:pPr>
      <w:r>
        <w:rPr>
          <w:rFonts w:eastAsia="楷体_GB2312"/>
          <w:bCs/>
          <w:spacing w:val="-11"/>
          <w:sz w:val="32"/>
          <w:szCs w:val="32"/>
        </w:rPr>
        <w:t>（一）基本医疗服务</w:t>
      </w:r>
    </w:p>
    <w:p w14:paraId="6C257BB8">
      <w:pPr>
        <w:spacing w:line="560" w:lineRule="exact"/>
        <w:ind w:firstLine="596" w:firstLineChars="200"/>
        <w:rPr>
          <w:rFonts w:eastAsia="仿宋_GB2312"/>
          <w:spacing w:val="-11"/>
          <w:sz w:val="32"/>
          <w:szCs w:val="32"/>
        </w:rPr>
      </w:pPr>
      <w:r>
        <w:rPr>
          <w:rFonts w:eastAsia="仿宋_GB2312"/>
          <w:spacing w:val="-11"/>
          <w:sz w:val="32"/>
          <w:szCs w:val="32"/>
        </w:rPr>
        <w:t>根据上述四项财政补助基本原则，在重点发展方向、区域特色、市场竞争力、重点考核指标方面予以适度倾斜。由区卫健委根据门急诊次均费用、住院次均药品耗材费用、平均住院日、二级手术量、三四级手术量设定考核系数，按照年度门急诊人次数、非公共卫生类体检业务量、年度住院床日数核定补助额。</w:t>
      </w:r>
    </w:p>
    <w:p w14:paraId="75084052">
      <w:pPr>
        <w:spacing w:line="560" w:lineRule="exact"/>
        <w:ind w:firstLine="599" w:firstLineChars="200"/>
        <w:rPr>
          <w:rFonts w:eastAsia="仿宋_GB2312"/>
          <w:spacing w:val="-11"/>
          <w:sz w:val="32"/>
          <w:szCs w:val="32"/>
        </w:rPr>
      </w:pPr>
      <w:r>
        <w:rPr>
          <w:rFonts w:eastAsia="仿宋_GB2312"/>
          <w:b/>
          <w:bCs/>
          <w:spacing w:val="-11"/>
          <w:sz w:val="32"/>
          <w:szCs w:val="32"/>
        </w:rPr>
        <w:t>补助标准</w:t>
      </w:r>
      <w:r>
        <w:rPr>
          <w:rFonts w:eastAsia="仿宋_GB2312"/>
          <w:bCs/>
          <w:spacing w:val="-11"/>
          <w:sz w:val="32"/>
          <w:szCs w:val="32"/>
        </w:rPr>
        <w:t>为</w:t>
      </w:r>
      <w:r>
        <w:rPr>
          <w:rFonts w:eastAsia="仿宋_GB2312"/>
          <w:spacing w:val="-11"/>
          <w:sz w:val="32"/>
          <w:szCs w:val="32"/>
        </w:rPr>
        <w:t>普通门诊工作量补助标准为20元/人次、中医门诊工作量补助标准为25元/人次、急诊工作量补助标准为25元/人次、非公共卫生类体检补助标准为20元/人次、普通住院工作量补助标准为75元/床日、二级手术住院工作量补助标准为100元/床日、三四级手术住院工作量补助标准为200元/床日。</w:t>
      </w:r>
    </w:p>
    <w:p w14:paraId="58987B01">
      <w:pPr>
        <w:spacing w:line="560" w:lineRule="exact"/>
        <w:ind w:firstLine="599" w:firstLineChars="200"/>
        <w:rPr>
          <w:rFonts w:eastAsia="仿宋_GB2312"/>
          <w:b/>
          <w:bCs/>
          <w:spacing w:val="-11"/>
          <w:sz w:val="32"/>
          <w:szCs w:val="32"/>
        </w:rPr>
      </w:pPr>
      <w:r>
        <w:rPr>
          <w:rFonts w:eastAsia="仿宋_GB2312"/>
          <w:b/>
          <w:bCs/>
          <w:spacing w:val="-11"/>
          <w:sz w:val="32"/>
          <w:szCs w:val="32"/>
        </w:rPr>
        <w:t>考核系数</w:t>
      </w:r>
      <w:r>
        <w:rPr>
          <w:rFonts w:eastAsia="仿宋_GB2312"/>
          <w:spacing w:val="-11"/>
          <w:sz w:val="32"/>
          <w:szCs w:val="32"/>
        </w:rPr>
        <w:t>为上年度门急诊次均药品耗材费用/本年度门急诊次均药品耗材费用、上年度住院次均药品耗材费用/本年度住院次均药品耗材费用、上年度平均住院日/本年度平均住院日、二级手术量年度增幅、三四级手术量年度增幅。</w:t>
      </w:r>
    </w:p>
    <w:p w14:paraId="6CB3C0E2">
      <w:pPr>
        <w:spacing w:line="560" w:lineRule="exact"/>
        <w:ind w:firstLine="599" w:firstLineChars="200"/>
        <w:rPr>
          <w:rFonts w:eastAsia="仿宋_GB2312"/>
          <w:spacing w:val="-11"/>
          <w:sz w:val="32"/>
          <w:szCs w:val="32"/>
        </w:rPr>
      </w:pPr>
      <w:r>
        <w:rPr>
          <w:rFonts w:eastAsia="仿宋_GB2312"/>
          <w:b/>
          <w:bCs/>
          <w:spacing w:val="-11"/>
          <w:sz w:val="32"/>
          <w:szCs w:val="32"/>
        </w:rPr>
        <w:t>基本医疗服务补助总额</w:t>
      </w:r>
      <w:r>
        <w:rPr>
          <w:rFonts w:eastAsia="仿宋_GB2312"/>
          <w:bCs/>
          <w:spacing w:val="-11"/>
          <w:sz w:val="32"/>
          <w:szCs w:val="32"/>
        </w:rPr>
        <w:t>=</w:t>
      </w:r>
      <w:r>
        <w:rPr>
          <w:rFonts w:eastAsia="仿宋_GB2312"/>
          <w:spacing w:val="-11"/>
          <w:sz w:val="32"/>
          <w:szCs w:val="32"/>
        </w:rPr>
        <w:t>年度普通门诊人次×（上年度门急诊次均药品耗材费用/本年度门急诊次均药品耗材费用）×普通门诊补助标准+年度中医门诊人次×（上年度门急诊次均药品耗材费用/本年度门急诊次均药品耗材费用）×中医门诊补助标准+年度急诊人次×（上年度门急诊次均药品耗材费用/本年度门急诊次均药品耗材费用）×急诊补助标准+年度非公共卫生类体检工作量×非公共卫生类体检补助标准+普通住院床日×（上年度住院次均药品耗材费用/本年度住院次均药品耗材费用）×（上年度平均住院日/本年度平均住院日）×普通住院工作量补助标准+二级手术住院床日×二级手术量年度增幅系数×二级手术住院工作量补助标准+三四级手术住院床日×三四级手术量年度增幅系数×三四级手术住院工作量补助标准。</w:t>
      </w:r>
    </w:p>
    <w:p w14:paraId="46FB910B">
      <w:pPr>
        <w:spacing w:line="560" w:lineRule="exact"/>
        <w:ind w:firstLine="596" w:firstLineChars="200"/>
        <w:rPr>
          <w:rFonts w:eastAsia="楷体_GB2312"/>
          <w:bCs/>
          <w:spacing w:val="-11"/>
          <w:sz w:val="32"/>
          <w:szCs w:val="32"/>
        </w:rPr>
      </w:pPr>
      <w:r>
        <w:rPr>
          <w:rFonts w:eastAsia="楷体_GB2312"/>
          <w:bCs/>
          <w:spacing w:val="-11"/>
          <w:sz w:val="32"/>
          <w:szCs w:val="32"/>
        </w:rPr>
        <w:t>（二）重点学专科建设</w:t>
      </w:r>
    </w:p>
    <w:p w14:paraId="3BF81F0D">
      <w:pPr>
        <w:spacing w:line="560" w:lineRule="exact"/>
        <w:ind w:firstLine="596" w:firstLineChars="200"/>
        <w:rPr>
          <w:rFonts w:eastAsia="仿宋_GB2312"/>
          <w:spacing w:val="-11"/>
          <w:sz w:val="32"/>
          <w:szCs w:val="32"/>
        </w:rPr>
      </w:pPr>
      <w:r>
        <w:rPr>
          <w:rFonts w:eastAsia="仿宋_GB2312"/>
          <w:spacing w:val="-11"/>
          <w:sz w:val="32"/>
          <w:szCs w:val="32"/>
        </w:rPr>
        <w:t>引导区属公立医院从同质化竞争转向</w:t>
      </w:r>
      <w:r>
        <w:rPr>
          <w:rFonts w:eastAsia="仿宋_GB2312"/>
          <w:bCs/>
          <w:spacing w:val="-11"/>
          <w:sz w:val="32"/>
          <w:szCs w:val="32"/>
        </w:rPr>
        <w:t>功能互补、特色鲜明、协同高效</w:t>
      </w:r>
      <w:r>
        <w:rPr>
          <w:rFonts w:eastAsia="仿宋_GB2312"/>
          <w:spacing w:val="-11"/>
          <w:sz w:val="32"/>
          <w:szCs w:val="32"/>
        </w:rPr>
        <w:t>的发展生态，促进公立医院重点学专科高质量发展。继续实施“科教兴卫”战略，对符合条件的重点学专科给予一次性奖补。</w:t>
      </w:r>
    </w:p>
    <w:p w14:paraId="38CBF736">
      <w:pPr>
        <w:spacing w:line="560" w:lineRule="exact"/>
        <w:ind w:firstLine="596" w:firstLineChars="200"/>
        <w:rPr>
          <w:rFonts w:eastAsia="楷体_GB2312"/>
          <w:bCs/>
          <w:spacing w:val="-11"/>
          <w:sz w:val="32"/>
          <w:szCs w:val="32"/>
        </w:rPr>
      </w:pPr>
      <w:r>
        <w:rPr>
          <w:rFonts w:eastAsia="楷体_GB2312"/>
          <w:bCs/>
          <w:spacing w:val="-11"/>
          <w:sz w:val="32"/>
          <w:szCs w:val="32"/>
        </w:rPr>
        <w:t>（三）基本建设和设备配置</w:t>
      </w:r>
    </w:p>
    <w:p w14:paraId="03D7A305">
      <w:pPr>
        <w:spacing w:line="560" w:lineRule="exact"/>
        <w:ind w:firstLine="596" w:firstLineChars="200"/>
        <w:rPr>
          <w:rFonts w:eastAsia="仿宋_GB2312"/>
          <w:spacing w:val="-11"/>
          <w:sz w:val="32"/>
          <w:szCs w:val="32"/>
        </w:rPr>
      </w:pPr>
      <w:r>
        <w:rPr>
          <w:rFonts w:eastAsia="仿宋_GB2312"/>
          <w:spacing w:val="-11"/>
          <w:sz w:val="32"/>
          <w:szCs w:val="32"/>
        </w:rPr>
        <w:t>对基本建设的投入，采取报区政府决策一事一议方式确定，工程所需资金由财政统筹各项资源予以保障。</w:t>
      </w:r>
    </w:p>
    <w:p w14:paraId="0295A67A">
      <w:pPr>
        <w:spacing w:line="560" w:lineRule="exact"/>
        <w:ind w:firstLine="596" w:firstLineChars="200"/>
        <w:rPr>
          <w:rFonts w:eastAsia="仿宋_GB2312"/>
          <w:spacing w:val="-11"/>
          <w:sz w:val="32"/>
          <w:szCs w:val="32"/>
        </w:rPr>
      </w:pPr>
      <w:r>
        <w:rPr>
          <w:rFonts w:eastAsia="仿宋_GB2312"/>
          <w:spacing w:val="-11"/>
          <w:sz w:val="32"/>
          <w:szCs w:val="32"/>
        </w:rPr>
        <w:t>对区属公立医院50万元及以上的设备购置项目，经区卫健委论证评审后，区财政局分轻重缓急，结合医院收支情况，视财力情况列入年度预算，总额不超过2000万元。50万元以下的设备购置由医院负责。</w:t>
      </w:r>
    </w:p>
    <w:p w14:paraId="42203784">
      <w:pPr>
        <w:spacing w:line="560" w:lineRule="exact"/>
        <w:ind w:firstLine="596" w:firstLineChars="200"/>
        <w:rPr>
          <w:rFonts w:eastAsia="仿宋_GB2312"/>
          <w:spacing w:val="-11"/>
          <w:kern w:val="0"/>
          <w:sz w:val="32"/>
          <w:szCs w:val="32"/>
        </w:rPr>
      </w:pPr>
      <w:r>
        <w:rPr>
          <w:rFonts w:eastAsia="仿宋_GB2312"/>
          <w:spacing w:val="-11"/>
          <w:sz w:val="32"/>
          <w:szCs w:val="32"/>
        </w:rPr>
        <w:t>设备维保费用由医院承担，财政不予保障。</w:t>
      </w:r>
    </w:p>
    <w:p w14:paraId="68FE8856">
      <w:pPr>
        <w:spacing w:line="560" w:lineRule="exact"/>
        <w:ind w:firstLine="596" w:firstLineChars="200"/>
        <w:rPr>
          <w:rFonts w:eastAsia="楷体_GB2312"/>
          <w:bCs/>
          <w:spacing w:val="-11"/>
          <w:sz w:val="32"/>
          <w:szCs w:val="32"/>
        </w:rPr>
      </w:pPr>
      <w:r>
        <w:rPr>
          <w:rFonts w:eastAsia="楷体_GB2312"/>
          <w:bCs/>
          <w:spacing w:val="-11"/>
          <w:sz w:val="32"/>
          <w:szCs w:val="32"/>
        </w:rPr>
        <w:t>（四）新建（或重建）、扩建医院人员及开业运营费</w:t>
      </w:r>
    </w:p>
    <w:p w14:paraId="07C143BB">
      <w:pPr>
        <w:spacing w:line="560" w:lineRule="exact"/>
        <w:ind w:firstLine="599" w:firstLineChars="200"/>
        <w:rPr>
          <w:rFonts w:eastAsia="仿宋_GB2312"/>
          <w:spacing w:val="-11"/>
          <w:sz w:val="32"/>
          <w:szCs w:val="32"/>
        </w:rPr>
      </w:pPr>
      <w:r>
        <w:rPr>
          <w:rFonts w:hint="eastAsia" w:eastAsia="仿宋_GB2312"/>
          <w:b/>
          <w:bCs/>
          <w:spacing w:val="-11"/>
          <w:sz w:val="32"/>
          <w:szCs w:val="32"/>
        </w:rPr>
        <w:t xml:space="preserve">1. </w:t>
      </w:r>
      <w:r>
        <w:rPr>
          <w:rFonts w:eastAsia="仿宋_GB2312"/>
          <w:b/>
          <w:bCs/>
          <w:spacing w:val="-11"/>
          <w:sz w:val="32"/>
          <w:szCs w:val="32"/>
        </w:rPr>
        <w:t>人才储备。</w:t>
      </w:r>
      <w:r>
        <w:rPr>
          <w:rFonts w:eastAsia="仿宋_GB2312"/>
          <w:spacing w:val="-11"/>
          <w:sz w:val="32"/>
          <w:szCs w:val="32"/>
        </w:rPr>
        <w:t>开业前准备期，根据国家、省有关规定（床护比、医护比等），区卫健委结合原有人数确定人才储备计划报区政府核定。从开工当年开始五年内，在核定的储备计划总人数范围内，对新进医护人员（不包括行政后勤人员、引进人才、退休后补充人员）给予3年的储备补助。</w:t>
      </w:r>
    </w:p>
    <w:p w14:paraId="1C501369">
      <w:pPr>
        <w:spacing w:line="560" w:lineRule="exact"/>
        <w:ind w:firstLine="596" w:firstLineChars="200"/>
        <w:rPr>
          <w:rFonts w:eastAsia="仿宋_GB2312"/>
          <w:spacing w:val="-11"/>
          <w:sz w:val="32"/>
          <w:szCs w:val="32"/>
        </w:rPr>
      </w:pPr>
      <w:r>
        <w:rPr>
          <w:rFonts w:eastAsia="仿宋_GB2312"/>
          <w:spacing w:val="-11"/>
          <w:sz w:val="32"/>
          <w:szCs w:val="32"/>
        </w:rPr>
        <w:t>人才储备补助标准=基本工资+基础性绩效工资（不含增核数）+单位承担社保缴费和住房公积金。</w:t>
      </w:r>
    </w:p>
    <w:p w14:paraId="470558A5">
      <w:pPr>
        <w:spacing w:line="560" w:lineRule="exact"/>
        <w:ind w:firstLine="596" w:firstLineChars="200"/>
        <w:rPr>
          <w:rFonts w:eastAsia="仿宋_GB2312"/>
          <w:spacing w:val="-11"/>
          <w:sz w:val="32"/>
          <w:szCs w:val="32"/>
        </w:rPr>
      </w:pPr>
      <w:r>
        <w:rPr>
          <w:rFonts w:eastAsia="仿宋_GB2312"/>
          <w:spacing w:val="-11"/>
          <w:sz w:val="32"/>
          <w:szCs w:val="32"/>
        </w:rPr>
        <w:t>社保缴费和住房公积金基数按前两项之和，前两项之和如低于最低缴费基数按最低缴费基数。</w:t>
      </w:r>
    </w:p>
    <w:p w14:paraId="33267FF1">
      <w:pPr>
        <w:spacing w:line="560" w:lineRule="exact"/>
        <w:ind w:firstLine="599" w:firstLineChars="200"/>
        <w:rPr>
          <w:rFonts w:eastAsia="仿宋_GB2312"/>
          <w:spacing w:val="-11"/>
          <w:sz w:val="32"/>
          <w:szCs w:val="32"/>
        </w:rPr>
      </w:pPr>
      <w:r>
        <w:rPr>
          <w:rFonts w:hint="eastAsia" w:eastAsia="仿宋_GB2312"/>
          <w:b/>
          <w:bCs/>
          <w:spacing w:val="-11"/>
          <w:sz w:val="32"/>
          <w:szCs w:val="32"/>
        </w:rPr>
        <w:t xml:space="preserve">2. </w:t>
      </w:r>
      <w:r>
        <w:rPr>
          <w:rFonts w:eastAsia="仿宋_GB2312"/>
          <w:b/>
          <w:bCs/>
          <w:spacing w:val="-11"/>
          <w:sz w:val="32"/>
          <w:szCs w:val="32"/>
        </w:rPr>
        <w:t>新建（或重建）、扩建医院开业运营费。</w:t>
      </w:r>
      <w:r>
        <w:rPr>
          <w:rFonts w:eastAsia="仿宋_GB2312"/>
          <w:spacing w:val="-11"/>
          <w:sz w:val="32"/>
          <w:szCs w:val="32"/>
        </w:rPr>
        <w:t>开业后运营初期，对其基本运行公用经费按事业单位分级分类定额从开业时点起三年内按100%、75%、50%的比例逐年递减补助。对其物业管理费（含保洁费用、安保费用、共用设施设备维保及其他日常维护费）、能耗费（含电费、水费、燃气费、蒸汽费）在三年内按50%的比例补助。</w:t>
      </w:r>
    </w:p>
    <w:p w14:paraId="67071DC2">
      <w:pPr>
        <w:spacing w:line="560" w:lineRule="exact"/>
        <w:ind w:firstLine="596" w:firstLineChars="200"/>
        <w:rPr>
          <w:rFonts w:eastAsia="楷体_GB2312"/>
          <w:bCs/>
          <w:spacing w:val="-11"/>
          <w:sz w:val="32"/>
          <w:szCs w:val="32"/>
        </w:rPr>
      </w:pPr>
      <w:r>
        <w:rPr>
          <w:rFonts w:eastAsia="楷体_GB2312"/>
          <w:bCs/>
          <w:spacing w:val="-11"/>
          <w:sz w:val="32"/>
          <w:szCs w:val="32"/>
        </w:rPr>
        <w:t>（五）其他应补事项</w:t>
      </w:r>
    </w:p>
    <w:p w14:paraId="170D9A2F">
      <w:pPr>
        <w:spacing w:line="560" w:lineRule="exact"/>
        <w:ind w:firstLine="596" w:firstLineChars="200"/>
        <w:rPr>
          <w:rFonts w:eastAsia="仿宋_GB2312"/>
          <w:bCs/>
          <w:spacing w:val="-11"/>
          <w:sz w:val="32"/>
          <w:szCs w:val="32"/>
        </w:rPr>
      </w:pPr>
      <w:r>
        <w:rPr>
          <w:rFonts w:eastAsia="仿宋_GB2312"/>
          <w:bCs/>
          <w:spacing w:val="-11"/>
          <w:sz w:val="32"/>
          <w:szCs w:val="32"/>
        </w:rPr>
        <w:t>根据《国务院关于深化医疗卫生体制改革的意见》要求，对符合国家规定的医药价格综合改革、离退休人员费用、政府指令性任务，由财政全额补助。</w:t>
      </w:r>
    </w:p>
    <w:p w14:paraId="7FE0B677">
      <w:pPr>
        <w:spacing w:line="560" w:lineRule="exact"/>
        <w:ind w:firstLine="596" w:firstLineChars="200"/>
        <w:rPr>
          <w:rFonts w:eastAsia="黑体"/>
          <w:bCs/>
          <w:spacing w:val="-11"/>
          <w:sz w:val="32"/>
          <w:szCs w:val="32"/>
        </w:rPr>
      </w:pPr>
      <w:r>
        <w:rPr>
          <w:rFonts w:eastAsia="黑体"/>
          <w:bCs/>
          <w:spacing w:val="-11"/>
          <w:sz w:val="32"/>
          <w:szCs w:val="32"/>
        </w:rPr>
        <w:t>三、国考奖补</w:t>
      </w:r>
    </w:p>
    <w:p w14:paraId="6AC4F8AD">
      <w:pPr>
        <w:spacing w:line="560" w:lineRule="exact"/>
        <w:ind w:firstLine="596" w:firstLineChars="200"/>
        <w:rPr>
          <w:rFonts w:eastAsia="仿宋_GB2312"/>
          <w:spacing w:val="-11"/>
          <w:sz w:val="32"/>
          <w:szCs w:val="32"/>
        </w:rPr>
      </w:pPr>
      <w:r>
        <w:rPr>
          <w:rFonts w:eastAsia="仿宋_GB2312"/>
          <w:spacing w:val="-11"/>
          <w:sz w:val="32"/>
          <w:szCs w:val="32"/>
        </w:rPr>
        <w:t>坚持奖优罚劣、优绩优补，将国考结果与财政补助挂钩，推动公立医院在“国考”中争先进位，全面提升公立医院医疗服务能力和运营管理水平。以2025年度考核结果为基数，根据区属公立医院国家绩效考核结果进行奖补。</w:t>
      </w:r>
    </w:p>
    <w:p w14:paraId="2184F205">
      <w:pPr>
        <w:spacing w:line="560" w:lineRule="exact"/>
        <w:ind w:firstLine="596" w:firstLineChars="200"/>
        <w:rPr>
          <w:rFonts w:eastAsia="仿宋_GB2312"/>
          <w:spacing w:val="-11"/>
          <w:sz w:val="32"/>
          <w:szCs w:val="32"/>
        </w:rPr>
      </w:pPr>
      <w:r>
        <w:rPr>
          <w:rFonts w:eastAsia="仿宋_GB2312"/>
          <w:spacing w:val="-11"/>
          <w:sz w:val="32"/>
          <w:szCs w:val="32"/>
        </w:rPr>
        <w:t>（一）根据省主管部门公布的国考全省排名，排名上升且创历史最高一次性奖励100万元，排名不变或下降的不予奖励。</w:t>
      </w:r>
    </w:p>
    <w:p w14:paraId="04457652">
      <w:pPr>
        <w:spacing w:line="560" w:lineRule="exact"/>
        <w:ind w:firstLine="596" w:firstLineChars="200"/>
        <w:rPr>
          <w:rFonts w:eastAsia="仿宋_GB2312"/>
          <w:spacing w:val="-11"/>
          <w:sz w:val="32"/>
          <w:szCs w:val="32"/>
        </w:rPr>
      </w:pPr>
      <w:r>
        <w:rPr>
          <w:rFonts w:eastAsia="仿宋_GB2312"/>
          <w:spacing w:val="-11"/>
          <w:sz w:val="32"/>
          <w:szCs w:val="32"/>
        </w:rPr>
        <w:t>（二）根据省主管部门公布的国考省级等级，等级上升或不变，不予奖励，等级下降一次性扣减200万元。</w:t>
      </w:r>
    </w:p>
    <w:p w14:paraId="77D8ECB8">
      <w:pPr>
        <w:spacing w:line="560" w:lineRule="exact"/>
        <w:ind w:firstLine="596" w:firstLineChars="200"/>
        <w:rPr>
          <w:rFonts w:eastAsia="黑体"/>
          <w:bCs/>
          <w:spacing w:val="-11"/>
          <w:sz w:val="32"/>
          <w:szCs w:val="32"/>
        </w:rPr>
      </w:pPr>
      <w:r>
        <w:rPr>
          <w:rFonts w:eastAsia="黑体"/>
          <w:bCs/>
          <w:spacing w:val="-11"/>
          <w:sz w:val="32"/>
          <w:szCs w:val="32"/>
        </w:rPr>
        <w:t>四、资金管理</w:t>
      </w:r>
    </w:p>
    <w:p w14:paraId="57FE533E">
      <w:pPr>
        <w:spacing w:line="560" w:lineRule="exact"/>
        <w:ind w:firstLine="596" w:firstLineChars="200"/>
        <w:rPr>
          <w:rFonts w:eastAsia="仿宋_GB2312"/>
          <w:spacing w:val="-11"/>
          <w:sz w:val="32"/>
          <w:szCs w:val="32"/>
        </w:rPr>
      </w:pPr>
      <w:r>
        <w:rPr>
          <w:rFonts w:hint="eastAsia" w:ascii="仿宋_GB2312" w:eastAsia="仿宋_GB2312"/>
          <w:spacing w:val="-11"/>
          <w:sz w:val="32"/>
          <w:szCs w:val="32"/>
        </w:rPr>
        <w:t>（一）</w:t>
      </w:r>
      <w:r>
        <w:rPr>
          <w:rFonts w:eastAsia="仿宋_GB2312"/>
          <w:spacing w:val="-11"/>
          <w:sz w:val="32"/>
          <w:szCs w:val="32"/>
        </w:rPr>
        <w:t>公立医院财政补助资金，按照财政预算管理制度、国库集中支付制度等有关规定执行。</w:t>
      </w:r>
    </w:p>
    <w:p w14:paraId="52CC49DD">
      <w:pPr>
        <w:spacing w:line="560" w:lineRule="exact"/>
        <w:ind w:firstLine="596" w:firstLineChars="200"/>
        <w:rPr>
          <w:rFonts w:eastAsia="仿宋_GB2312"/>
          <w:spacing w:val="-11"/>
          <w:sz w:val="32"/>
          <w:szCs w:val="32"/>
        </w:rPr>
      </w:pPr>
      <w:r>
        <w:rPr>
          <w:rFonts w:hint="eastAsia" w:ascii="仿宋_GB2312" w:eastAsia="仿宋_GB2312"/>
          <w:spacing w:val="-11"/>
          <w:sz w:val="32"/>
          <w:szCs w:val="32"/>
        </w:rPr>
        <w:t>（二）</w:t>
      </w:r>
      <w:r>
        <w:rPr>
          <w:rFonts w:eastAsia="仿宋_GB2312"/>
          <w:spacing w:val="-11"/>
          <w:sz w:val="32"/>
          <w:szCs w:val="32"/>
        </w:rPr>
        <w:t>基本医疗服务补助。由公立医院按照预测工作量及相关数据，经区卫生健康委员会、区财政局审核后纳入部门预算，统筹用于医院基本运行经费。次年，根据实际基本医疗服务数量进行清算。</w:t>
      </w:r>
    </w:p>
    <w:p w14:paraId="023A830C">
      <w:pPr>
        <w:spacing w:line="560" w:lineRule="exact"/>
        <w:ind w:firstLine="596" w:firstLineChars="200"/>
        <w:rPr>
          <w:rFonts w:eastAsia="仿宋_GB2312"/>
          <w:spacing w:val="-11"/>
          <w:sz w:val="32"/>
          <w:szCs w:val="32"/>
        </w:rPr>
      </w:pPr>
      <w:r>
        <w:rPr>
          <w:rFonts w:hint="eastAsia" w:ascii="仿宋_GB2312" w:eastAsia="仿宋_GB2312"/>
          <w:spacing w:val="-11"/>
          <w:sz w:val="32"/>
          <w:szCs w:val="32"/>
        </w:rPr>
        <w:t>（三）</w:t>
      </w:r>
      <w:r>
        <w:rPr>
          <w:rFonts w:eastAsia="仿宋_GB2312"/>
          <w:spacing w:val="-11"/>
          <w:sz w:val="32"/>
          <w:szCs w:val="32"/>
        </w:rPr>
        <w:t>医药价格综合改革补助。在编制年度预算时，由区财政局会同区卫生健康委员会按预测亏损补助额纳入部门预算，进行分期预拨。次年，根据实际补偿率进行清算。</w:t>
      </w:r>
    </w:p>
    <w:p w14:paraId="19C21C15">
      <w:pPr>
        <w:spacing w:line="560" w:lineRule="exact"/>
        <w:ind w:firstLine="596" w:firstLineChars="200"/>
        <w:rPr>
          <w:rFonts w:eastAsia="仿宋_GB2312"/>
          <w:spacing w:val="-11"/>
          <w:sz w:val="32"/>
          <w:szCs w:val="32"/>
        </w:rPr>
      </w:pPr>
      <w:r>
        <w:rPr>
          <w:rFonts w:hint="eastAsia" w:ascii="仿宋_GB2312" w:eastAsia="仿宋_GB2312"/>
          <w:spacing w:val="-11"/>
          <w:sz w:val="32"/>
          <w:szCs w:val="32"/>
        </w:rPr>
        <w:t>（四）</w:t>
      </w:r>
      <w:r>
        <w:rPr>
          <w:rFonts w:eastAsia="仿宋_GB2312"/>
          <w:spacing w:val="-11"/>
          <w:sz w:val="32"/>
          <w:szCs w:val="32"/>
        </w:rPr>
        <w:t>重点学科发展补助。由区卫生健康委员会根据上年度学专科创建情况，按规定纳入部门预算，区财政局按实核拨经费。</w:t>
      </w:r>
    </w:p>
    <w:p w14:paraId="46BC185D">
      <w:pPr>
        <w:spacing w:line="560" w:lineRule="exact"/>
        <w:ind w:firstLine="596" w:firstLineChars="200"/>
        <w:rPr>
          <w:rFonts w:eastAsia="仿宋_GB2312"/>
          <w:spacing w:val="-11"/>
          <w:sz w:val="32"/>
          <w:szCs w:val="32"/>
        </w:rPr>
      </w:pPr>
      <w:r>
        <w:rPr>
          <w:rFonts w:hint="eastAsia" w:ascii="仿宋_GB2312" w:eastAsia="仿宋_GB2312"/>
          <w:spacing w:val="-11"/>
          <w:sz w:val="32"/>
          <w:szCs w:val="32"/>
        </w:rPr>
        <w:t>（五）</w:t>
      </w:r>
      <w:r>
        <w:rPr>
          <w:rFonts w:eastAsia="仿宋_GB2312"/>
          <w:spacing w:val="-11"/>
          <w:sz w:val="32"/>
          <w:szCs w:val="32"/>
        </w:rPr>
        <w:t>其他公立医院补助。按规定纳入部门预算，涉及财政投资评审、政府采购等相关流程的按规定审核拨付资金。</w:t>
      </w:r>
    </w:p>
    <w:p w14:paraId="38FF843F">
      <w:pPr>
        <w:spacing w:line="560" w:lineRule="exact"/>
        <w:ind w:firstLine="596" w:firstLineChars="200"/>
        <w:rPr>
          <w:rFonts w:eastAsia="黑体"/>
          <w:bCs/>
          <w:spacing w:val="-11"/>
          <w:sz w:val="32"/>
          <w:szCs w:val="32"/>
        </w:rPr>
      </w:pPr>
      <w:r>
        <w:rPr>
          <w:rFonts w:eastAsia="黑体"/>
          <w:bCs/>
          <w:spacing w:val="-11"/>
          <w:sz w:val="32"/>
          <w:szCs w:val="32"/>
        </w:rPr>
        <w:t>五、有关要求</w:t>
      </w:r>
    </w:p>
    <w:p w14:paraId="3D814445">
      <w:pPr>
        <w:spacing w:line="560" w:lineRule="exact"/>
        <w:ind w:firstLine="596" w:firstLineChars="200"/>
        <w:rPr>
          <w:rFonts w:eastAsia="仿宋_GB2312"/>
          <w:spacing w:val="-11"/>
          <w:sz w:val="32"/>
          <w:szCs w:val="32"/>
        </w:rPr>
      </w:pPr>
      <w:r>
        <w:rPr>
          <w:rFonts w:hint="eastAsia" w:ascii="仿宋_GB2312" w:eastAsia="仿宋_GB2312"/>
          <w:spacing w:val="-11"/>
          <w:sz w:val="32"/>
          <w:szCs w:val="32"/>
        </w:rPr>
        <w:t>（一）</w:t>
      </w:r>
      <w:r>
        <w:rPr>
          <w:rFonts w:eastAsia="仿宋_GB2312"/>
          <w:spacing w:val="-11"/>
          <w:sz w:val="32"/>
          <w:szCs w:val="32"/>
        </w:rPr>
        <w:t>必须严格遵守《中华人民共和国预算法》、《政府会计制度》及其他公立医院预决算、财务管理、会计核算、国有资产管理等现行法律法规制度。对违反规定使用、骗取补助资金的行为，依照《财政违法行为处罚处分条例》等国家有关规定追究法律责任。</w:t>
      </w:r>
    </w:p>
    <w:p w14:paraId="2324EDAD">
      <w:pPr>
        <w:spacing w:line="560" w:lineRule="exact"/>
        <w:ind w:firstLine="596" w:firstLineChars="200"/>
        <w:rPr>
          <w:rFonts w:eastAsia="仿宋_GB2312"/>
          <w:spacing w:val="-11"/>
          <w:sz w:val="32"/>
          <w:szCs w:val="32"/>
        </w:rPr>
      </w:pPr>
      <w:r>
        <w:rPr>
          <w:rFonts w:hint="eastAsia" w:ascii="仿宋_GB2312" w:eastAsia="仿宋_GB2312"/>
          <w:spacing w:val="-11"/>
          <w:sz w:val="32"/>
          <w:szCs w:val="32"/>
        </w:rPr>
        <w:t>（二）</w:t>
      </w:r>
      <w:r>
        <w:rPr>
          <w:rFonts w:eastAsia="仿宋_GB2312"/>
          <w:spacing w:val="-11"/>
          <w:sz w:val="32"/>
          <w:szCs w:val="32"/>
        </w:rPr>
        <w:t>公立医院所有收支应全部纳入部门预算统一管理，细化预算编制、强化预算执行。加强成本核算与管理，逐步实行全成本核算。</w:t>
      </w:r>
    </w:p>
    <w:p w14:paraId="5ABEBAD2">
      <w:pPr>
        <w:spacing w:line="560" w:lineRule="exact"/>
        <w:ind w:firstLine="596" w:firstLineChars="200"/>
        <w:rPr>
          <w:rFonts w:eastAsia="仿宋_GB2312"/>
          <w:spacing w:val="-11"/>
          <w:sz w:val="32"/>
          <w:szCs w:val="32"/>
        </w:rPr>
      </w:pPr>
      <w:r>
        <w:rPr>
          <w:rFonts w:hint="eastAsia" w:ascii="仿宋_GB2312" w:eastAsia="仿宋_GB2312"/>
          <w:spacing w:val="-11"/>
          <w:sz w:val="32"/>
          <w:szCs w:val="32"/>
        </w:rPr>
        <w:t>（三）</w:t>
      </w:r>
      <w:r>
        <w:rPr>
          <w:rFonts w:eastAsia="仿宋_GB2312"/>
          <w:spacing w:val="-11"/>
          <w:sz w:val="32"/>
          <w:szCs w:val="32"/>
        </w:rPr>
        <w:t>按规定执行财务报告报送制度。月度报告应于次月10日前报送、季度报告应于次季度首月15日前报送、年度报告应于次年1月底前报送。遇法定节假日适当顺延。季度、年度报告须附财务情况说明书、成本报表。</w:t>
      </w:r>
    </w:p>
    <w:p w14:paraId="6211F43C">
      <w:pPr>
        <w:spacing w:line="560" w:lineRule="exact"/>
        <w:ind w:firstLine="596" w:firstLineChars="200"/>
        <w:rPr>
          <w:rFonts w:eastAsia="仿宋_GB2312"/>
          <w:spacing w:val="-11"/>
          <w:sz w:val="32"/>
          <w:szCs w:val="32"/>
        </w:rPr>
      </w:pPr>
      <w:r>
        <w:rPr>
          <w:rFonts w:hint="eastAsia" w:ascii="仿宋_GB2312" w:eastAsia="仿宋_GB2312"/>
          <w:spacing w:val="-11"/>
          <w:sz w:val="32"/>
          <w:szCs w:val="32"/>
        </w:rPr>
        <w:t>（四）</w:t>
      </w:r>
      <w:r>
        <w:rPr>
          <w:rFonts w:eastAsia="仿宋_GB2312"/>
          <w:spacing w:val="-11"/>
          <w:sz w:val="32"/>
          <w:szCs w:val="32"/>
        </w:rPr>
        <w:t>建立财务信息公开制度，强化内部监督和考核。财务信息公开的内容应当以审计后的财务决算为基础，重点公开医院收支、门急诊次均医药费用及增幅、住院人均医药费用及增幅、主要病种例均费用等社会公众较为关心的信息，并确保公开内容的真实性和准确性。</w:t>
      </w:r>
    </w:p>
    <w:p w14:paraId="65D39BDA">
      <w:pPr>
        <w:spacing w:line="560" w:lineRule="exact"/>
        <w:ind w:firstLine="596" w:firstLineChars="200"/>
        <w:rPr>
          <w:rFonts w:eastAsia="仿宋_GB2312"/>
          <w:spacing w:val="-11"/>
          <w:sz w:val="32"/>
          <w:szCs w:val="32"/>
        </w:rPr>
      </w:pPr>
      <w:r>
        <w:rPr>
          <w:rFonts w:hint="eastAsia" w:ascii="仿宋_GB2312" w:eastAsia="仿宋_GB2312"/>
          <w:spacing w:val="-11"/>
          <w:sz w:val="32"/>
          <w:szCs w:val="32"/>
        </w:rPr>
        <w:t>（五）</w:t>
      </w:r>
      <w:r>
        <w:rPr>
          <w:rFonts w:eastAsia="仿宋_GB2312"/>
          <w:spacing w:val="-11"/>
          <w:sz w:val="32"/>
          <w:szCs w:val="32"/>
        </w:rPr>
        <w:t>加强对财政补助资金的绩效评价。</w:t>
      </w:r>
    </w:p>
    <w:p w14:paraId="020EF648">
      <w:pPr>
        <w:spacing w:line="560" w:lineRule="exact"/>
        <w:ind w:firstLine="596" w:firstLineChars="200"/>
        <w:rPr>
          <w:rFonts w:eastAsia="黑体"/>
          <w:bCs/>
          <w:spacing w:val="-11"/>
          <w:sz w:val="32"/>
          <w:szCs w:val="32"/>
        </w:rPr>
      </w:pPr>
      <w:r>
        <w:rPr>
          <w:rFonts w:eastAsia="黑体"/>
          <w:bCs/>
          <w:spacing w:val="-11"/>
          <w:sz w:val="32"/>
          <w:szCs w:val="32"/>
        </w:rPr>
        <w:t>六、其他</w:t>
      </w:r>
    </w:p>
    <w:p w14:paraId="130AD3D8">
      <w:pPr>
        <w:spacing w:line="560" w:lineRule="exact"/>
        <w:ind w:firstLine="596" w:firstLineChars="200"/>
        <w:rPr>
          <w:rFonts w:eastAsia="仿宋_GB2312"/>
          <w:spacing w:val="-11"/>
          <w:sz w:val="32"/>
          <w:szCs w:val="32"/>
        </w:rPr>
      </w:pPr>
      <w:r>
        <w:rPr>
          <w:rFonts w:eastAsia="仿宋_GB2312"/>
          <w:spacing w:val="-11"/>
          <w:sz w:val="32"/>
          <w:szCs w:val="32"/>
        </w:rPr>
        <w:t>本办法</w:t>
      </w:r>
      <w:r>
        <w:rPr>
          <w:rFonts w:hint="eastAsia" w:eastAsia="仿宋_GB2312"/>
          <w:spacing w:val="-11"/>
          <w:sz w:val="32"/>
          <w:szCs w:val="32"/>
        </w:rPr>
        <w:t>自2</w:t>
      </w:r>
      <w:r>
        <w:rPr>
          <w:rFonts w:eastAsia="仿宋_GB2312"/>
          <w:spacing w:val="-11"/>
          <w:sz w:val="32"/>
          <w:szCs w:val="32"/>
        </w:rPr>
        <w:t>026</w:t>
      </w:r>
      <w:r>
        <w:rPr>
          <w:rFonts w:hint="eastAsia" w:eastAsia="仿宋_GB2312"/>
          <w:spacing w:val="-11"/>
          <w:sz w:val="32"/>
          <w:szCs w:val="32"/>
        </w:rPr>
        <w:t>年</w:t>
      </w:r>
      <w:r>
        <w:rPr>
          <w:rFonts w:eastAsia="仿宋_GB2312"/>
          <w:spacing w:val="-11"/>
          <w:sz w:val="32"/>
          <w:szCs w:val="32"/>
        </w:rPr>
        <w:t>1</w:t>
      </w:r>
      <w:r>
        <w:rPr>
          <w:rFonts w:hint="eastAsia" w:eastAsia="仿宋_GB2312"/>
          <w:spacing w:val="-11"/>
          <w:sz w:val="32"/>
          <w:szCs w:val="32"/>
        </w:rPr>
        <w:t>月1日</w:t>
      </w:r>
      <w:r>
        <w:rPr>
          <w:rFonts w:eastAsia="仿宋_GB2312"/>
          <w:spacing w:val="-11"/>
          <w:sz w:val="32"/>
          <w:szCs w:val="32"/>
        </w:rPr>
        <w:t>起施行，由区财政局、区卫生健康委员会负责解释。《吴中区区属公立医院财政补助（暂行）办法》（吴政办〔2020〕1号）同时废止。</w:t>
      </w:r>
    </w:p>
    <w:p w14:paraId="6FE317E4">
      <w:pPr>
        <w:widowControl/>
        <w:jc w:val="left"/>
        <w:rPr>
          <w:rFonts w:eastAsia="仿宋_GB2312"/>
          <w:spacing w:val="-10"/>
          <w:sz w:val="32"/>
          <w:szCs w:val="32"/>
        </w:rPr>
      </w:pPr>
      <w:r>
        <w:rPr>
          <w:rFonts w:eastAsia="仿宋_GB2312"/>
          <w:spacing w:val="-10"/>
          <w:sz w:val="32"/>
          <w:szCs w:val="32"/>
        </w:rPr>
        <w:br w:type="page"/>
      </w:r>
    </w:p>
    <w:p w14:paraId="5C6C33CB">
      <w:pPr>
        <w:widowControl/>
        <w:jc w:val="left"/>
        <w:rPr>
          <w:rFonts w:eastAsia="仿宋_GB2312"/>
          <w:spacing w:val="-10"/>
          <w:sz w:val="32"/>
          <w:szCs w:val="32"/>
        </w:rPr>
      </w:pPr>
    </w:p>
    <w:p w14:paraId="660AA448">
      <w:pPr>
        <w:widowControl/>
        <w:jc w:val="left"/>
        <w:rPr>
          <w:rFonts w:eastAsia="仿宋_GB2312"/>
          <w:spacing w:val="-10"/>
          <w:sz w:val="32"/>
          <w:szCs w:val="32"/>
        </w:rPr>
      </w:pPr>
    </w:p>
    <w:p w14:paraId="4ED0D09D">
      <w:pPr>
        <w:widowControl/>
        <w:jc w:val="left"/>
        <w:rPr>
          <w:rFonts w:eastAsia="仿宋_GB2312"/>
          <w:spacing w:val="-10"/>
          <w:sz w:val="32"/>
          <w:szCs w:val="32"/>
        </w:rPr>
      </w:pPr>
    </w:p>
    <w:p w14:paraId="18765B11">
      <w:pPr>
        <w:widowControl/>
        <w:jc w:val="left"/>
        <w:rPr>
          <w:rFonts w:eastAsia="仿宋_GB2312"/>
          <w:spacing w:val="-10"/>
          <w:sz w:val="32"/>
          <w:szCs w:val="32"/>
        </w:rPr>
      </w:pPr>
    </w:p>
    <w:p w14:paraId="31E08368">
      <w:pPr>
        <w:widowControl/>
        <w:jc w:val="left"/>
        <w:rPr>
          <w:rFonts w:eastAsia="仿宋_GB2312"/>
          <w:spacing w:val="-10"/>
          <w:sz w:val="32"/>
          <w:szCs w:val="32"/>
        </w:rPr>
      </w:pPr>
    </w:p>
    <w:p w14:paraId="500E402E">
      <w:pPr>
        <w:widowControl/>
        <w:jc w:val="left"/>
        <w:rPr>
          <w:rFonts w:eastAsia="仿宋_GB2312"/>
          <w:spacing w:val="-10"/>
          <w:sz w:val="32"/>
          <w:szCs w:val="32"/>
        </w:rPr>
      </w:pPr>
    </w:p>
    <w:p w14:paraId="00D82E8D">
      <w:pPr>
        <w:widowControl/>
        <w:jc w:val="left"/>
        <w:rPr>
          <w:rFonts w:eastAsia="仿宋_GB2312"/>
          <w:spacing w:val="-10"/>
          <w:sz w:val="32"/>
          <w:szCs w:val="32"/>
        </w:rPr>
      </w:pPr>
    </w:p>
    <w:p w14:paraId="13E06C94">
      <w:pPr>
        <w:widowControl/>
        <w:jc w:val="left"/>
        <w:rPr>
          <w:rFonts w:eastAsia="仿宋_GB2312"/>
          <w:spacing w:val="-10"/>
          <w:sz w:val="32"/>
          <w:szCs w:val="32"/>
        </w:rPr>
      </w:pPr>
    </w:p>
    <w:p w14:paraId="067B3734">
      <w:pPr>
        <w:widowControl/>
        <w:jc w:val="left"/>
        <w:rPr>
          <w:rFonts w:eastAsia="仿宋_GB2312"/>
          <w:spacing w:val="-10"/>
          <w:sz w:val="32"/>
          <w:szCs w:val="32"/>
        </w:rPr>
      </w:pPr>
    </w:p>
    <w:p w14:paraId="1589B684">
      <w:pPr>
        <w:widowControl/>
        <w:jc w:val="left"/>
        <w:rPr>
          <w:rFonts w:eastAsia="仿宋_GB2312"/>
          <w:spacing w:val="-10"/>
          <w:sz w:val="32"/>
          <w:szCs w:val="32"/>
        </w:rPr>
      </w:pPr>
    </w:p>
    <w:p w14:paraId="266D855A">
      <w:pPr>
        <w:widowControl/>
        <w:jc w:val="left"/>
        <w:rPr>
          <w:rFonts w:eastAsia="仿宋_GB2312"/>
          <w:spacing w:val="-10"/>
          <w:sz w:val="32"/>
          <w:szCs w:val="32"/>
        </w:rPr>
      </w:pPr>
    </w:p>
    <w:p w14:paraId="1A4C967E">
      <w:pPr>
        <w:widowControl/>
        <w:jc w:val="left"/>
        <w:rPr>
          <w:rFonts w:eastAsia="仿宋_GB2312"/>
          <w:spacing w:val="-10"/>
          <w:sz w:val="32"/>
          <w:szCs w:val="32"/>
        </w:rPr>
      </w:pPr>
    </w:p>
    <w:p w14:paraId="43C64ACE">
      <w:pPr>
        <w:widowControl/>
        <w:jc w:val="left"/>
        <w:rPr>
          <w:rFonts w:eastAsia="仿宋_GB2312"/>
          <w:spacing w:val="-10"/>
          <w:sz w:val="32"/>
          <w:szCs w:val="32"/>
        </w:rPr>
      </w:pPr>
    </w:p>
    <w:p w14:paraId="4993860B">
      <w:pPr>
        <w:widowControl/>
        <w:jc w:val="left"/>
        <w:rPr>
          <w:rFonts w:eastAsia="仿宋_GB2312"/>
          <w:spacing w:val="-10"/>
          <w:sz w:val="32"/>
          <w:szCs w:val="32"/>
        </w:rPr>
      </w:pPr>
    </w:p>
    <w:p w14:paraId="40B3C967">
      <w:pPr>
        <w:widowControl/>
        <w:jc w:val="left"/>
        <w:rPr>
          <w:rFonts w:eastAsia="仿宋_GB2312"/>
          <w:spacing w:val="-10"/>
          <w:sz w:val="32"/>
          <w:szCs w:val="32"/>
        </w:rPr>
      </w:pPr>
    </w:p>
    <w:p w14:paraId="27E35E97">
      <w:pPr>
        <w:widowControl/>
        <w:jc w:val="left"/>
        <w:rPr>
          <w:rFonts w:eastAsia="仿宋_GB2312"/>
          <w:spacing w:val="-10"/>
          <w:sz w:val="32"/>
          <w:szCs w:val="32"/>
        </w:rPr>
      </w:pPr>
    </w:p>
    <w:p w14:paraId="061DF75F">
      <w:pPr>
        <w:widowControl/>
        <w:jc w:val="left"/>
        <w:rPr>
          <w:rFonts w:hint="eastAsia" w:eastAsia="仿宋_GB2312"/>
          <w:spacing w:val="-10"/>
          <w:sz w:val="32"/>
          <w:szCs w:val="32"/>
        </w:rPr>
      </w:pPr>
    </w:p>
    <w:p w14:paraId="285F9B4B">
      <w:pPr>
        <w:widowControl/>
        <w:adjustRightInd w:val="0"/>
        <w:snapToGrid w:val="0"/>
        <w:spacing w:line="560" w:lineRule="exact"/>
        <w:jc w:val="right"/>
        <w:rPr>
          <w:rFonts w:eastAsia="仿宋_GB2312"/>
          <w:spacing w:val="-10"/>
          <w:sz w:val="32"/>
          <w:szCs w:val="32"/>
        </w:rPr>
      </w:pPr>
    </w:p>
    <w:p w14:paraId="67BC4BFC">
      <w:pPr>
        <w:keepNext w:val="0"/>
        <w:keepLines w:val="0"/>
        <w:pageBreakBefore w:val="0"/>
        <w:widowControl w:val="0"/>
        <w:kinsoku/>
        <w:wordWrap/>
        <w:overflowPunct/>
        <w:topLinePunct w:val="0"/>
        <w:autoSpaceDE/>
        <w:autoSpaceDN/>
        <w:bidi w:val="0"/>
        <w:adjustRightInd/>
        <w:snapToGrid/>
        <w:spacing w:after="157" w:afterLines="50" w:line="580" w:lineRule="exact"/>
        <w:ind w:firstLine="596" w:firstLineChars="200"/>
        <w:textAlignment w:val="auto"/>
        <w:rPr>
          <w:rFonts w:eastAsia="仿宋_GB2312"/>
          <w:spacing w:val="-11"/>
          <w:sz w:val="32"/>
          <w:szCs w:val="32"/>
        </w:rPr>
      </w:pPr>
    </w:p>
    <w:p w14:paraId="1FC1419B">
      <w:pPr>
        <w:keepNext w:val="0"/>
        <w:keepLines w:val="0"/>
        <w:pageBreakBefore w:val="0"/>
        <w:widowControl w:val="0"/>
        <w:pBdr>
          <w:top w:val="single" w:color="auto" w:sz="8" w:space="0"/>
          <w:bottom w:val="single" w:color="auto" w:sz="8" w:space="1"/>
        </w:pBdr>
        <w:kinsoku/>
        <w:wordWrap/>
        <w:overflowPunct/>
        <w:topLinePunct w:val="0"/>
        <w:autoSpaceDE/>
        <w:autoSpaceDN/>
        <w:bidi w:val="0"/>
        <w:adjustRightInd/>
        <w:snapToGrid/>
        <w:spacing w:line="520" w:lineRule="exact"/>
        <w:ind w:right="23" w:rightChars="11" w:firstLine="280" w:firstLineChars="100"/>
        <w:textAlignment w:val="auto"/>
        <w:rPr>
          <w:rFonts w:eastAsia="方正小标宋简体" w:cs="方正小标宋简体"/>
          <w:sz w:val="44"/>
          <w:szCs w:val="44"/>
        </w:rPr>
      </w:pPr>
      <w:r>
        <w:rPr>
          <w:rFonts w:hint="eastAsia" w:eastAsia="仿宋_GB2312" w:cs="仿宋_GB2312"/>
          <w:sz w:val="28"/>
          <w:szCs w:val="28"/>
        </w:rPr>
        <w:t>苏州市吴中区人民政府办公室</w:t>
      </w:r>
      <w:r>
        <w:rPr>
          <w:rFonts w:eastAsia="仿宋_GB2312"/>
          <w:sz w:val="28"/>
          <w:szCs w:val="28"/>
        </w:rPr>
        <w:t xml:space="preserve">         </w:t>
      </w:r>
      <w:r>
        <w:rPr>
          <w:rFonts w:hint="eastAsia" w:eastAsia="仿宋_GB2312"/>
          <w:sz w:val="28"/>
          <w:szCs w:val="28"/>
        </w:rPr>
        <w:t xml:space="preserve">  </w:t>
      </w:r>
      <w:r>
        <w:rPr>
          <w:rFonts w:eastAsia="仿宋_GB2312"/>
          <w:sz w:val="28"/>
          <w:szCs w:val="28"/>
        </w:rPr>
        <w:t xml:space="preserve"> </w:t>
      </w:r>
      <w:r>
        <w:rPr>
          <w:rFonts w:hint="eastAsia" w:eastAsia="仿宋_GB2312"/>
          <w:sz w:val="28"/>
          <w:szCs w:val="28"/>
        </w:rPr>
        <w:t xml:space="preserve"> </w:t>
      </w:r>
      <w:r>
        <w:rPr>
          <w:rFonts w:eastAsia="仿宋_GB2312"/>
          <w:sz w:val="28"/>
          <w:szCs w:val="28"/>
        </w:rPr>
        <w:t xml:space="preserve"> 20</w:t>
      </w:r>
      <w:r>
        <w:rPr>
          <w:rFonts w:hint="eastAsia" w:eastAsia="仿宋_GB2312"/>
          <w:sz w:val="28"/>
          <w:szCs w:val="28"/>
        </w:rPr>
        <w:t>26</w:t>
      </w:r>
      <w:r>
        <w:rPr>
          <w:rFonts w:hint="eastAsia" w:eastAsia="仿宋_GB2312" w:cs="仿宋_GB2312"/>
          <w:sz w:val="28"/>
          <w:szCs w:val="28"/>
        </w:rPr>
        <w:t>年</w:t>
      </w:r>
      <w:r>
        <w:rPr>
          <w:rFonts w:hint="eastAsia" w:eastAsia="仿宋_GB2312"/>
          <w:sz w:val="28"/>
          <w:szCs w:val="28"/>
        </w:rPr>
        <w:t>4</w:t>
      </w:r>
      <w:r>
        <w:rPr>
          <w:rFonts w:hint="eastAsia" w:eastAsia="仿宋_GB2312" w:cs="仿宋_GB2312"/>
          <w:sz w:val="28"/>
          <w:szCs w:val="28"/>
        </w:rPr>
        <w:t>月</w:t>
      </w:r>
      <w:r>
        <w:rPr>
          <w:rFonts w:hint="eastAsia" w:eastAsia="仿宋_GB2312" w:cs="仿宋_GB2312"/>
          <w:sz w:val="28"/>
          <w:szCs w:val="28"/>
          <w:lang w:val="en-US" w:eastAsia="zh-CN"/>
        </w:rPr>
        <w:t>17</w:t>
      </w:r>
      <w:r>
        <w:rPr>
          <w:rFonts w:hint="eastAsia" w:eastAsia="仿宋_GB2312" w:cs="仿宋_GB2312"/>
          <w:sz w:val="28"/>
          <w:szCs w:val="28"/>
        </w:rPr>
        <w:t>日印发</w:t>
      </w:r>
    </w:p>
    <w:sectPr>
      <w:headerReference r:id="rId5" w:type="first"/>
      <w:footerReference r:id="rId8" w:type="first"/>
      <w:headerReference r:id="rId3" w:type="default"/>
      <w:footerReference r:id="rId6" w:type="default"/>
      <w:headerReference r:id="rId4" w:type="even"/>
      <w:footerReference r:id="rId7" w:type="even"/>
      <w:pgSz w:w="11907" w:h="16840"/>
      <w:pgMar w:top="2098" w:right="1474" w:bottom="1985" w:left="1588" w:header="851" w:footer="1588"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735FDA3-AF7D-4179-88F6-92E13963E0E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9468BACD-7731-4C0E-A591-D92B7AB530A2}"/>
  </w:font>
  <w:font w:name="方正小标宋_GBK">
    <w:panose1 w:val="03000509000000000000"/>
    <w:charset w:val="86"/>
    <w:family w:val="script"/>
    <w:pitch w:val="default"/>
    <w:sig w:usb0="00000001" w:usb1="080E0000" w:usb2="00000000" w:usb3="00000000" w:csb0="00040000" w:csb1="00000000"/>
    <w:embedRegular r:id="rId3" w:fontKey="{975CF924-0332-41EF-A069-222B43B39A75}"/>
  </w:font>
  <w:font w:name="方正小标宋简体">
    <w:panose1 w:val="02000000000000000000"/>
    <w:charset w:val="86"/>
    <w:family w:val="script"/>
    <w:pitch w:val="default"/>
    <w:sig w:usb0="00000001" w:usb1="08000000" w:usb2="00000000" w:usb3="00000000" w:csb0="00040000" w:csb1="00000000"/>
    <w:embedRegular r:id="rId4" w:fontKey="{0BF45EE8-2FAB-4DF9-8D02-5857311B791A}"/>
  </w:font>
  <w:font w:name="楷体_GB2312">
    <w:panose1 w:val="02010609030101010101"/>
    <w:charset w:val="86"/>
    <w:family w:val="modern"/>
    <w:pitch w:val="default"/>
    <w:sig w:usb0="00000001" w:usb1="080E0000" w:usb2="00000000" w:usb3="00000000" w:csb0="00040000" w:csb1="00000000"/>
    <w:embedRegular r:id="rId5" w:fontKey="{72FEA75E-B4CE-4204-885F-6AE66ACA98F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4E734">
    <w:pPr>
      <w:pStyle w:val="6"/>
      <w:ind w:right="420" w:rightChars="200"/>
      <w:jc w:val="right"/>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posOffset>4683125</wp:posOffset>
              </wp:positionH>
              <wp:positionV relativeFrom="paragraph">
                <wp:posOffset>219075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9C0E1AC">
                          <w:pPr>
                            <w:pStyle w:val="6"/>
                            <w:ind w:right="420" w:rightChars="200"/>
                            <w:jc w:val="right"/>
                          </w:pPr>
                          <w:sdt>
                            <w:sdtPr>
                              <w:id w:val="147461717"/>
                              <w:docPartObj>
                                <w:docPartGallery w:val="autotext"/>
                              </w:docPartObj>
                            </w:sdtPr>
                            <w:sdtEndPr>
                              <w:rPr>
                                <w:sz w:val="28"/>
                                <w:szCs w:val="28"/>
                              </w:rPr>
                            </w:sdtEndPr>
                            <w:sdtContent>
                              <w:r>
                                <w:rPr>
                                  <w:rFonts w:hint="eastAsia"/>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rPr>
                                <w:t>1</w:t>
                              </w:r>
                              <w:r>
                                <w:rPr>
                                  <w:sz w:val="28"/>
                                  <w:szCs w:val="28"/>
                                </w:rPr>
                                <w:fldChar w:fldCharType="end"/>
                              </w:r>
                              <w:r>
                                <w:rPr>
                                  <w:rFonts w:hint="eastAsia"/>
                                  <w:sz w:val="28"/>
                                  <w:szCs w:val="28"/>
                                </w:rPr>
                                <w:t xml:space="preserve"> —</w:t>
                              </w:r>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68.75pt;margin-top:17.25pt;height:144pt;width:144pt;mso-position-horizontal-relative:margin;mso-wrap-style:none;z-index:251659264;mso-width-relative:page;mso-height-relative:page;" filled="f" stroked="f" coordsize="21600,21600" o:gfxdata="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">
              <v:fill on="f" focussize="0,0"/>
              <v:stroke on="f" weight="0.5pt"/>
              <v:imagedata o:title=""/>
              <o:lock v:ext="edit" aspectratio="f"/>
              <v:textbox inset="0mm,0mm,0mm,0mm" style="mso-fit-shape-to-text:t;">
                <w:txbxContent>
                  <w:p w14:paraId="19C0E1AC">
                    <w:pPr>
                      <w:pStyle w:val="6"/>
                      <w:ind w:right="420" w:rightChars="200"/>
                      <w:jc w:val="right"/>
                    </w:pPr>
                    <w:sdt>
                      <w:sdtPr>
                        <w:id w:val="147461717"/>
                        <w:docPartObj>
                          <w:docPartGallery w:val="autotext"/>
                        </w:docPartObj>
                      </w:sdtPr>
                      <w:sdtEndPr>
                        <w:rPr>
                          <w:sz w:val="28"/>
                          <w:szCs w:val="28"/>
                        </w:rPr>
                      </w:sdtEndPr>
                      <w:sdtContent>
                        <w:r>
                          <w:rPr>
                            <w:rFonts w:hint="eastAsia"/>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rPr>
                          <w:t>1</w:t>
                        </w:r>
                        <w:r>
                          <w:rPr>
                            <w:sz w:val="28"/>
                            <w:szCs w:val="28"/>
                          </w:rPr>
                          <w:fldChar w:fldCharType="end"/>
                        </w:r>
                        <w:r>
                          <w:rPr>
                            <w:rFonts w:hint="eastAsia"/>
                            <w:sz w:val="28"/>
                            <w:szCs w:val="28"/>
                          </w:rPr>
                          <w:t xml:space="preserve"> —</w:t>
                        </w:r>
                      </w:sdtContent>
                    </w:sdt>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44EA3">
    <w:pPr>
      <w:pStyle w:val="6"/>
      <w:ind w:left="420" w:leftChars="200" w:right="420" w:rightChars="200"/>
      <w:rPr>
        <w:rFonts w:hint="eastAsia"/>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posOffset>9525</wp:posOffset>
              </wp:positionH>
              <wp:positionV relativeFrom="paragraph">
                <wp:posOffset>219075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CEB9519">
                          <w:pPr>
                            <w:pStyle w:val="6"/>
                            <w:ind w:left="420" w:leftChars="200" w:right="420" w:rightChars="200"/>
                          </w:pPr>
                          <w:sdt>
                            <w:sdtPr>
                              <w:id w:val="147474851"/>
                              <w:docPartObj>
                                <w:docPartGallery w:val="autotext"/>
                              </w:docPartObj>
                            </w:sdtPr>
                            <w:sdtEndPr>
                              <w:rPr>
                                <w:sz w:val="28"/>
                                <w:szCs w:val="28"/>
                              </w:rPr>
                            </w:sdtEndPr>
                            <w:sdtContent>
                              <w:r>
                                <w:rPr>
                                  <w:rFonts w:hint="eastAsia"/>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rPr>
                                <w:t>5</w:t>
                              </w:r>
                              <w:r>
                                <w:rPr>
                                  <w:sz w:val="28"/>
                                  <w:szCs w:val="28"/>
                                </w:rPr>
                                <w:fldChar w:fldCharType="end"/>
                              </w:r>
                              <w:r>
                                <w:rPr>
                                  <w:rFonts w:hint="eastAsia"/>
                                  <w:sz w:val="28"/>
                                  <w:szCs w:val="28"/>
                                </w:rPr>
                                <w:t xml:space="preserve"> —</w:t>
                              </w:r>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75pt;margin-top:17.25pt;height:144pt;width:144pt;mso-position-horizontal-relative:margin;mso-wrap-style:none;z-index:251660288;mso-width-relative:page;mso-height-relative:page;" filled="f" stroked="f" coordsize="21600,21600" o:gfxdata="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">
              <v:fill on="f" focussize="0,0"/>
              <v:stroke on="f" weight="0.5pt"/>
              <v:imagedata o:title=""/>
              <o:lock v:ext="edit" aspectratio="f"/>
              <v:textbox inset="0mm,0mm,0mm,0mm" style="mso-fit-shape-to-text:t;">
                <w:txbxContent>
                  <w:p w14:paraId="0CEB9519">
                    <w:pPr>
                      <w:pStyle w:val="6"/>
                      <w:ind w:left="420" w:leftChars="200" w:right="420" w:rightChars="200"/>
                    </w:pPr>
                    <w:sdt>
                      <w:sdtPr>
                        <w:id w:val="147474851"/>
                        <w:docPartObj>
                          <w:docPartGallery w:val="autotext"/>
                        </w:docPartObj>
                      </w:sdtPr>
                      <w:sdtEndPr>
                        <w:rPr>
                          <w:sz w:val="28"/>
                          <w:szCs w:val="28"/>
                        </w:rPr>
                      </w:sdtEndPr>
                      <w:sdtContent>
                        <w:r>
                          <w:rPr>
                            <w:rFonts w:hint="eastAsia"/>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rPr>
                          <w:t>5</w:t>
                        </w:r>
                        <w:r>
                          <w:rPr>
                            <w:sz w:val="28"/>
                            <w:szCs w:val="28"/>
                          </w:rPr>
                          <w:fldChar w:fldCharType="end"/>
                        </w:r>
                        <w:r>
                          <w:rPr>
                            <w:rFonts w:hint="eastAsia"/>
                            <w:sz w:val="28"/>
                            <w:szCs w:val="28"/>
                          </w:rPr>
                          <w:t xml:space="preserve"> —</w:t>
                        </w:r>
                      </w:sdtContent>
                    </w:sdt>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93DF0">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6300D">
    <w:pPr>
      <w:pStyle w:val="7"/>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B45A9">
    <w:pPr>
      <w:pStyle w:val="7"/>
      <w:pBdr>
        <w:bottom w:val="none" w:color="auto" w:sz="0" w:space="0"/>
      </w:pBdr>
    </w:pPr>
  </w:p>
  <w:p w14:paraId="4761D92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366EC">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JlZGFkNzU4NjEyM2M5ZTg0ZGFkMTU0MDliZTQwMTcifQ=="/>
  </w:docVars>
  <w:rsids>
    <w:rsidRoot w:val="001477C1"/>
    <w:rsid w:val="000017CE"/>
    <w:rsid w:val="00027348"/>
    <w:rsid w:val="00036717"/>
    <w:rsid w:val="000413E4"/>
    <w:rsid w:val="00043602"/>
    <w:rsid w:val="000458E6"/>
    <w:rsid w:val="00046BFC"/>
    <w:rsid w:val="00050A76"/>
    <w:rsid w:val="00052FEA"/>
    <w:rsid w:val="00065B5F"/>
    <w:rsid w:val="00072888"/>
    <w:rsid w:val="00074E92"/>
    <w:rsid w:val="00075482"/>
    <w:rsid w:val="00087636"/>
    <w:rsid w:val="0009066F"/>
    <w:rsid w:val="000978E0"/>
    <w:rsid w:val="000A1E2F"/>
    <w:rsid w:val="000A5DCD"/>
    <w:rsid w:val="000B58D8"/>
    <w:rsid w:val="000D71C7"/>
    <w:rsid w:val="000E37DC"/>
    <w:rsid w:val="000E439D"/>
    <w:rsid w:val="000F78D7"/>
    <w:rsid w:val="00102B1F"/>
    <w:rsid w:val="00103223"/>
    <w:rsid w:val="00105D88"/>
    <w:rsid w:val="00107549"/>
    <w:rsid w:val="00110D11"/>
    <w:rsid w:val="00115C47"/>
    <w:rsid w:val="00120872"/>
    <w:rsid w:val="00120E28"/>
    <w:rsid w:val="001217B1"/>
    <w:rsid w:val="00123E22"/>
    <w:rsid w:val="001252AA"/>
    <w:rsid w:val="00133EAA"/>
    <w:rsid w:val="00136471"/>
    <w:rsid w:val="00141AE3"/>
    <w:rsid w:val="001477C1"/>
    <w:rsid w:val="00150092"/>
    <w:rsid w:val="00152581"/>
    <w:rsid w:val="0015353A"/>
    <w:rsid w:val="0015556D"/>
    <w:rsid w:val="00155A02"/>
    <w:rsid w:val="00160C4D"/>
    <w:rsid w:val="0016309F"/>
    <w:rsid w:val="001703BB"/>
    <w:rsid w:val="00177F52"/>
    <w:rsid w:val="00186A93"/>
    <w:rsid w:val="001A1C90"/>
    <w:rsid w:val="001A2A4D"/>
    <w:rsid w:val="001A2B41"/>
    <w:rsid w:val="001B2727"/>
    <w:rsid w:val="001C1511"/>
    <w:rsid w:val="001C246E"/>
    <w:rsid w:val="001C6AEA"/>
    <w:rsid w:val="001C71AA"/>
    <w:rsid w:val="001D1E87"/>
    <w:rsid w:val="001D2446"/>
    <w:rsid w:val="001E5C8F"/>
    <w:rsid w:val="001F249A"/>
    <w:rsid w:val="00200BE4"/>
    <w:rsid w:val="00202C7E"/>
    <w:rsid w:val="0021004F"/>
    <w:rsid w:val="002109AA"/>
    <w:rsid w:val="00210CBE"/>
    <w:rsid w:val="00211C01"/>
    <w:rsid w:val="002120B8"/>
    <w:rsid w:val="0021709B"/>
    <w:rsid w:val="002177E4"/>
    <w:rsid w:val="00220830"/>
    <w:rsid w:val="00222062"/>
    <w:rsid w:val="0022342D"/>
    <w:rsid w:val="00223A0E"/>
    <w:rsid w:val="002272C5"/>
    <w:rsid w:val="00241996"/>
    <w:rsid w:val="00246F2F"/>
    <w:rsid w:val="00247831"/>
    <w:rsid w:val="00247DB7"/>
    <w:rsid w:val="002525C7"/>
    <w:rsid w:val="002649AF"/>
    <w:rsid w:val="002659CA"/>
    <w:rsid w:val="00267CAF"/>
    <w:rsid w:val="0027253F"/>
    <w:rsid w:val="00283538"/>
    <w:rsid w:val="0028475F"/>
    <w:rsid w:val="00287F18"/>
    <w:rsid w:val="00290858"/>
    <w:rsid w:val="00292A19"/>
    <w:rsid w:val="002A2D70"/>
    <w:rsid w:val="002B05A9"/>
    <w:rsid w:val="002B4EBB"/>
    <w:rsid w:val="002B5ED4"/>
    <w:rsid w:val="002B76E2"/>
    <w:rsid w:val="002C0174"/>
    <w:rsid w:val="002C1F22"/>
    <w:rsid w:val="002C37FD"/>
    <w:rsid w:val="002D3E89"/>
    <w:rsid w:val="002E494E"/>
    <w:rsid w:val="002E6FFA"/>
    <w:rsid w:val="002F1B95"/>
    <w:rsid w:val="002F3CDE"/>
    <w:rsid w:val="002F49B5"/>
    <w:rsid w:val="002F6929"/>
    <w:rsid w:val="002F7FC2"/>
    <w:rsid w:val="00301E14"/>
    <w:rsid w:val="00306A7C"/>
    <w:rsid w:val="0031756E"/>
    <w:rsid w:val="003217B3"/>
    <w:rsid w:val="00322D53"/>
    <w:rsid w:val="0032567D"/>
    <w:rsid w:val="00326C07"/>
    <w:rsid w:val="00333245"/>
    <w:rsid w:val="00340C90"/>
    <w:rsid w:val="00341FBB"/>
    <w:rsid w:val="00346012"/>
    <w:rsid w:val="00351416"/>
    <w:rsid w:val="003537ED"/>
    <w:rsid w:val="0035661D"/>
    <w:rsid w:val="0035712C"/>
    <w:rsid w:val="00364827"/>
    <w:rsid w:val="00364CF0"/>
    <w:rsid w:val="00370ED8"/>
    <w:rsid w:val="00384143"/>
    <w:rsid w:val="00386173"/>
    <w:rsid w:val="003A0B34"/>
    <w:rsid w:val="003A25E3"/>
    <w:rsid w:val="003A51F4"/>
    <w:rsid w:val="003A7146"/>
    <w:rsid w:val="003B032E"/>
    <w:rsid w:val="003B16BE"/>
    <w:rsid w:val="003D4D95"/>
    <w:rsid w:val="003D5846"/>
    <w:rsid w:val="003D66FF"/>
    <w:rsid w:val="003D7E0F"/>
    <w:rsid w:val="003E5304"/>
    <w:rsid w:val="003E7B09"/>
    <w:rsid w:val="003F3D69"/>
    <w:rsid w:val="0040511C"/>
    <w:rsid w:val="0040639D"/>
    <w:rsid w:val="00407619"/>
    <w:rsid w:val="004156B3"/>
    <w:rsid w:val="0041659B"/>
    <w:rsid w:val="0042332B"/>
    <w:rsid w:val="0043359F"/>
    <w:rsid w:val="00434D82"/>
    <w:rsid w:val="00436BC8"/>
    <w:rsid w:val="00441868"/>
    <w:rsid w:val="00454FA9"/>
    <w:rsid w:val="004622B8"/>
    <w:rsid w:val="004A29D0"/>
    <w:rsid w:val="004B2A04"/>
    <w:rsid w:val="004B3092"/>
    <w:rsid w:val="004C4829"/>
    <w:rsid w:val="004C67B4"/>
    <w:rsid w:val="004D586E"/>
    <w:rsid w:val="004E22D4"/>
    <w:rsid w:val="004E3021"/>
    <w:rsid w:val="004F1DEA"/>
    <w:rsid w:val="004F265A"/>
    <w:rsid w:val="004F489D"/>
    <w:rsid w:val="00514DF4"/>
    <w:rsid w:val="00526F14"/>
    <w:rsid w:val="005313B8"/>
    <w:rsid w:val="00532BA5"/>
    <w:rsid w:val="005330B4"/>
    <w:rsid w:val="00540972"/>
    <w:rsid w:val="00540B81"/>
    <w:rsid w:val="005565E5"/>
    <w:rsid w:val="00564CB6"/>
    <w:rsid w:val="00570A01"/>
    <w:rsid w:val="005927D4"/>
    <w:rsid w:val="00593681"/>
    <w:rsid w:val="005A19D1"/>
    <w:rsid w:val="005A6E36"/>
    <w:rsid w:val="005B0680"/>
    <w:rsid w:val="005C1D55"/>
    <w:rsid w:val="005C4876"/>
    <w:rsid w:val="005C75FD"/>
    <w:rsid w:val="005D1A4C"/>
    <w:rsid w:val="005D207B"/>
    <w:rsid w:val="005D2D82"/>
    <w:rsid w:val="005E4DD4"/>
    <w:rsid w:val="005E6F7E"/>
    <w:rsid w:val="005F0E75"/>
    <w:rsid w:val="005F3697"/>
    <w:rsid w:val="005F37A1"/>
    <w:rsid w:val="00601CE0"/>
    <w:rsid w:val="0060618B"/>
    <w:rsid w:val="006208E1"/>
    <w:rsid w:val="006223A6"/>
    <w:rsid w:val="00627E05"/>
    <w:rsid w:val="00630597"/>
    <w:rsid w:val="00631323"/>
    <w:rsid w:val="00631CF0"/>
    <w:rsid w:val="006413C6"/>
    <w:rsid w:val="00642C3A"/>
    <w:rsid w:val="006539F3"/>
    <w:rsid w:val="0066073E"/>
    <w:rsid w:val="00662909"/>
    <w:rsid w:val="00670216"/>
    <w:rsid w:val="00674712"/>
    <w:rsid w:val="0068164C"/>
    <w:rsid w:val="00683666"/>
    <w:rsid w:val="00692C68"/>
    <w:rsid w:val="006933BF"/>
    <w:rsid w:val="006A0022"/>
    <w:rsid w:val="006A4359"/>
    <w:rsid w:val="006A4E77"/>
    <w:rsid w:val="006A6605"/>
    <w:rsid w:val="006A77ED"/>
    <w:rsid w:val="006B089B"/>
    <w:rsid w:val="006B1511"/>
    <w:rsid w:val="006B224F"/>
    <w:rsid w:val="006C465A"/>
    <w:rsid w:val="006C4D38"/>
    <w:rsid w:val="006D0AA0"/>
    <w:rsid w:val="006D7B8C"/>
    <w:rsid w:val="006E031F"/>
    <w:rsid w:val="006E3452"/>
    <w:rsid w:val="006E373A"/>
    <w:rsid w:val="006E66BF"/>
    <w:rsid w:val="006E7EC4"/>
    <w:rsid w:val="006F07C8"/>
    <w:rsid w:val="006F1B71"/>
    <w:rsid w:val="006F5A7D"/>
    <w:rsid w:val="00702486"/>
    <w:rsid w:val="0070483A"/>
    <w:rsid w:val="00706DFE"/>
    <w:rsid w:val="00707E27"/>
    <w:rsid w:val="007107C5"/>
    <w:rsid w:val="00713FC7"/>
    <w:rsid w:val="00716297"/>
    <w:rsid w:val="00721003"/>
    <w:rsid w:val="00721C39"/>
    <w:rsid w:val="0072359B"/>
    <w:rsid w:val="007332E4"/>
    <w:rsid w:val="007400D0"/>
    <w:rsid w:val="00741DB6"/>
    <w:rsid w:val="00744BB1"/>
    <w:rsid w:val="00746672"/>
    <w:rsid w:val="00746AE0"/>
    <w:rsid w:val="00751ABC"/>
    <w:rsid w:val="007533CD"/>
    <w:rsid w:val="00757327"/>
    <w:rsid w:val="00760E61"/>
    <w:rsid w:val="00773BDE"/>
    <w:rsid w:val="00775170"/>
    <w:rsid w:val="00791A2A"/>
    <w:rsid w:val="0079281C"/>
    <w:rsid w:val="00793D9F"/>
    <w:rsid w:val="007A4B4F"/>
    <w:rsid w:val="007B0D13"/>
    <w:rsid w:val="007B6775"/>
    <w:rsid w:val="007C3768"/>
    <w:rsid w:val="007D5324"/>
    <w:rsid w:val="007E3488"/>
    <w:rsid w:val="007F2355"/>
    <w:rsid w:val="007F3718"/>
    <w:rsid w:val="0080413F"/>
    <w:rsid w:val="00804840"/>
    <w:rsid w:val="00816172"/>
    <w:rsid w:val="00830C0F"/>
    <w:rsid w:val="00831086"/>
    <w:rsid w:val="008321BB"/>
    <w:rsid w:val="008442F4"/>
    <w:rsid w:val="0084581E"/>
    <w:rsid w:val="0085165E"/>
    <w:rsid w:val="00861918"/>
    <w:rsid w:val="00862785"/>
    <w:rsid w:val="008628FB"/>
    <w:rsid w:val="00863DCA"/>
    <w:rsid w:val="0087093A"/>
    <w:rsid w:val="00874397"/>
    <w:rsid w:val="0087458D"/>
    <w:rsid w:val="00884772"/>
    <w:rsid w:val="00892746"/>
    <w:rsid w:val="00892DC4"/>
    <w:rsid w:val="00897441"/>
    <w:rsid w:val="008A0EB6"/>
    <w:rsid w:val="008A1E54"/>
    <w:rsid w:val="008A460B"/>
    <w:rsid w:val="008A6084"/>
    <w:rsid w:val="008B6174"/>
    <w:rsid w:val="008C09F4"/>
    <w:rsid w:val="008C27DD"/>
    <w:rsid w:val="008C2E84"/>
    <w:rsid w:val="008C4A92"/>
    <w:rsid w:val="008D1AF8"/>
    <w:rsid w:val="008D2DA2"/>
    <w:rsid w:val="008D4CB7"/>
    <w:rsid w:val="008D6F59"/>
    <w:rsid w:val="008E0C06"/>
    <w:rsid w:val="008E2057"/>
    <w:rsid w:val="008E5ACF"/>
    <w:rsid w:val="008E5AE0"/>
    <w:rsid w:val="008F226B"/>
    <w:rsid w:val="0090188E"/>
    <w:rsid w:val="0090279F"/>
    <w:rsid w:val="00903028"/>
    <w:rsid w:val="00930C86"/>
    <w:rsid w:val="00944B4E"/>
    <w:rsid w:val="00945708"/>
    <w:rsid w:val="0094684F"/>
    <w:rsid w:val="00950137"/>
    <w:rsid w:val="00962BC7"/>
    <w:rsid w:val="009703C7"/>
    <w:rsid w:val="00984FD4"/>
    <w:rsid w:val="00986DD5"/>
    <w:rsid w:val="009935CE"/>
    <w:rsid w:val="009945CE"/>
    <w:rsid w:val="00994F41"/>
    <w:rsid w:val="009968C6"/>
    <w:rsid w:val="009A05FF"/>
    <w:rsid w:val="009A13E1"/>
    <w:rsid w:val="009A15F2"/>
    <w:rsid w:val="009A2FAE"/>
    <w:rsid w:val="009A6BAB"/>
    <w:rsid w:val="009B3AEC"/>
    <w:rsid w:val="009B4227"/>
    <w:rsid w:val="009B750C"/>
    <w:rsid w:val="009B7AB3"/>
    <w:rsid w:val="009C4939"/>
    <w:rsid w:val="009C6731"/>
    <w:rsid w:val="009C7340"/>
    <w:rsid w:val="009D41FC"/>
    <w:rsid w:val="009D449F"/>
    <w:rsid w:val="009E0BFA"/>
    <w:rsid w:val="009E1F2B"/>
    <w:rsid w:val="009E53B0"/>
    <w:rsid w:val="009E6D81"/>
    <w:rsid w:val="009E6EEA"/>
    <w:rsid w:val="009F0290"/>
    <w:rsid w:val="009F3A2C"/>
    <w:rsid w:val="009F6C81"/>
    <w:rsid w:val="00A1474A"/>
    <w:rsid w:val="00A16268"/>
    <w:rsid w:val="00A211AE"/>
    <w:rsid w:val="00A23E35"/>
    <w:rsid w:val="00A362D5"/>
    <w:rsid w:val="00A443CA"/>
    <w:rsid w:val="00A445B8"/>
    <w:rsid w:val="00A46C54"/>
    <w:rsid w:val="00A55C52"/>
    <w:rsid w:val="00A601A0"/>
    <w:rsid w:val="00A775B4"/>
    <w:rsid w:val="00AA018D"/>
    <w:rsid w:val="00AA09BD"/>
    <w:rsid w:val="00AA0EE8"/>
    <w:rsid w:val="00AA305B"/>
    <w:rsid w:val="00AB7F35"/>
    <w:rsid w:val="00AC0346"/>
    <w:rsid w:val="00AC0B0E"/>
    <w:rsid w:val="00AC193E"/>
    <w:rsid w:val="00AC5FAC"/>
    <w:rsid w:val="00AC61CC"/>
    <w:rsid w:val="00AD165A"/>
    <w:rsid w:val="00AD2BDD"/>
    <w:rsid w:val="00AD316F"/>
    <w:rsid w:val="00AD5F91"/>
    <w:rsid w:val="00AF0B4F"/>
    <w:rsid w:val="00AF22C1"/>
    <w:rsid w:val="00AF4DFC"/>
    <w:rsid w:val="00AF5467"/>
    <w:rsid w:val="00B072C4"/>
    <w:rsid w:val="00B12CF5"/>
    <w:rsid w:val="00B23C36"/>
    <w:rsid w:val="00B2442F"/>
    <w:rsid w:val="00B34413"/>
    <w:rsid w:val="00B34C86"/>
    <w:rsid w:val="00B35035"/>
    <w:rsid w:val="00B52662"/>
    <w:rsid w:val="00B52AF6"/>
    <w:rsid w:val="00B564F2"/>
    <w:rsid w:val="00B61D28"/>
    <w:rsid w:val="00B72D24"/>
    <w:rsid w:val="00B84E19"/>
    <w:rsid w:val="00B8560D"/>
    <w:rsid w:val="00BA36C5"/>
    <w:rsid w:val="00BC1698"/>
    <w:rsid w:val="00BC432C"/>
    <w:rsid w:val="00BC68CD"/>
    <w:rsid w:val="00BE2FE2"/>
    <w:rsid w:val="00BE67F8"/>
    <w:rsid w:val="00BE7D1B"/>
    <w:rsid w:val="00BE7D8E"/>
    <w:rsid w:val="00BF401A"/>
    <w:rsid w:val="00BF7AF7"/>
    <w:rsid w:val="00C11231"/>
    <w:rsid w:val="00C149CE"/>
    <w:rsid w:val="00C14AC0"/>
    <w:rsid w:val="00C14DDE"/>
    <w:rsid w:val="00C16CCE"/>
    <w:rsid w:val="00C20096"/>
    <w:rsid w:val="00C2010F"/>
    <w:rsid w:val="00C20381"/>
    <w:rsid w:val="00C30F7B"/>
    <w:rsid w:val="00C4032C"/>
    <w:rsid w:val="00C4062C"/>
    <w:rsid w:val="00C40FEA"/>
    <w:rsid w:val="00C45868"/>
    <w:rsid w:val="00C474EF"/>
    <w:rsid w:val="00C50D61"/>
    <w:rsid w:val="00C5690C"/>
    <w:rsid w:val="00C56E50"/>
    <w:rsid w:val="00C632D0"/>
    <w:rsid w:val="00C738DD"/>
    <w:rsid w:val="00C77374"/>
    <w:rsid w:val="00C828BE"/>
    <w:rsid w:val="00C8457B"/>
    <w:rsid w:val="00C86D4E"/>
    <w:rsid w:val="00C9145C"/>
    <w:rsid w:val="00C91A48"/>
    <w:rsid w:val="00C944C8"/>
    <w:rsid w:val="00C974B8"/>
    <w:rsid w:val="00CA111C"/>
    <w:rsid w:val="00CA283A"/>
    <w:rsid w:val="00CA2A57"/>
    <w:rsid w:val="00CA2AE1"/>
    <w:rsid w:val="00CA7C17"/>
    <w:rsid w:val="00CB1E60"/>
    <w:rsid w:val="00CB4705"/>
    <w:rsid w:val="00CB4756"/>
    <w:rsid w:val="00CB523C"/>
    <w:rsid w:val="00CB65A1"/>
    <w:rsid w:val="00CB7FC7"/>
    <w:rsid w:val="00CD2D57"/>
    <w:rsid w:val="00CD2DAF"/>
    <w:rsid w:val="00CE5D3D"/>
    <w:rsid w:val="00CF05E1"/>
    <w:rsid w:val="00CF1B11"/>
    <w:rsid w:val="00D01DE9"/>
    <w:rsid w:val="00D04AEE"/>
    <w:rsid w:val="00D04C8F"/>
    <w:rsid w:val="00D175E1"/>
    <w:rsid w:val="00D21C7B"/>
    <w:rsid w:val="00D2366A"/>
    <w:rsid w:val="00D266D2"/>
    <w:rsid w:val="00D33E02"/>
    <w:rsid w:val="00D35550"/>
    <w:rsid w:val="00D45EC0"/>
    <w:rsid w:val="00D55D8A"/>
    <w:rsid w:val="00D71358"/>
    <w:rsid w:val="00D77B04"/>
    <w:rsid w:val="00D90CE1"/>
    <w:rsid w:val="00D91143"/>
    <w:rsid w:val="00D92935"/>
    <w:rsid w:val="00DA19DF"/>
    <w:rsid w:val="00DA3799"/>
    <w:rsid w:val="00DA501E"/>
    <w:rsid w:val="00DB3E76"/>
    <w:rsid w:val="00DD5CFB"/>
    <w:rsid w:val="00DE3685"/>
    <w:rsid w:val="00DE484C"/>
    <w:rsid w:val="00DF138F"/>
    <w:rsid w:val="00DF16B7"/>
    <w:rsid w:val="00DF5DAA"/>
    <w:rsid w:val="00DF7315"/>
    <w:rsid w:val="00E1184E"/>
    <w:rsid w:val="00E17617"/>
    <w:rsid w:val="00E25FC1"/>
    <w:rsid w:val="00E35165"/>
    <w:rsid w:val="00E453B0"/>
    <w:rsid w:val="00E47878"/>
    <w:rsid w:val="00E529B3"/>
    <w:rsid w:val="00E6105C"/>
    <w:rsid w:val="00E63FB3"/>
    <w:rsid w:val="00E74964"/>
    <w:rsid w:val="00E775B6"/>
    <w:rsid w:val="00E819BE"/>
    <w:rsid w:val="00E912C3"/>
    <w:rsid w:val="00E947F1"/>
    <w:rsid w:val="00E950F4"/>
    <w:rsid w:val="00EA0563"/>
    <w:rsid w:val="00EA2A99"/>
    <w:rsid w:val="00EB63B7"/>
    <w:rsid w:val="00EC5770"/>
    <w:rsid w:val="00ED45D1"/>
    <w:rsid w:val="00ED6C93"/>
    <w:rsid w:val="00EE01CA"/>
    <w:rsid w:val="00EE0560"/>
    <w:rsid w:val="00EE2963"/>
    <w:rsid w:val="00EE4E45"/>
    <w:rsid w:val="00EE61A2"/>
    <w:rsid w:val="00EF08D0"/>
    <w:rsid w:val="00EF5C80"/>
    <w:rsid w:val="00F01286"/>
    <w:rsid w:val="00F01F30"/>
    <w:rsid w:val="00F046C1"/>
    <w:rsid w:val="00F066EC"/>
    <w:rsid w:val="00F12041"/>
    <w:rsid w:val="00F12C85"/>
    <w:rsid w:val="00F13D67"/>
    <w:rsid w:val="00F210DB"/>
    <w:rsid w:val="00F214F8"/>
    <w:rsid w:val="00F27A4D"/>
    <w:rsid w:val="00F33B88"/>
    <w:rsid w:val="00F37C34"/>
    <w:rsid w:val="00F44499"/>
    <w:rsid w:val="00F44AC4"/>
    <w:rsid w:val="00F6532D"/>
    <w:rsid w:val="00F667C0"/>
    <w:rsid w:val="00F741E9"/>
    <w:rsid w:val="00F74C27"/>
    <w:rsid w:val="00F75C44"/>
    <w:rsid w:val="00F7653D"/>
    <w:rsid w:val="00F76CAE"/>
    <w:rsid w:val="00F776C9"/>
    <w:rsid w:val="00F817C5"/>
    <w:rsid w:val="00F9065C"/>
    <w:rsid w:val="00F93BF8"/>
    <w:rsid w:val="00F94119"/>
    <w:rsid w:val="00F975C1"/>
    <w:rsid w:val="00FA421B"/>
    <w:rsid w:val="00FA7873"/>
    <w:rsid w:val="00FA7EDF"/>
    <w:rsid w:val="00FB5D4C"/>
    <w:rsid w:val="00FB78D5"/>
    <w:rsid w:val="00FC1AAB"/>
    <w:rsid w:val="00FC5E00"/>
    <w:rsid w:val="00FD0240"/>
    <w:rsid w:val="00FD30C6"/>
    <w:rsid w:val="00FD6A83"/>
    <w:rsid w:val="00FE1D89"/>
    <w:rsid w:val="00FF01C8"/>
    <w:rsid w:val="00FF330B"/>
    <w:rsid w:val="016A3985"/>
    <w:rsid w:val="017F591C"/>
    <w:rsid w:val="01E53742"/>
    <w:rsid w:val="02232E1B"/>
    <w:rsid w:val="025A69BA"/>
    <w:rsid w:val="02DF5E0F"/>
    <w:rsid w:val="02E4100B"/>
    <w:rsid w:val="03A965F3"/>
    <w:rsid w:val="044572F1"/>
    <w:rsid w:val="046B3792"/>
    <w:rsid w:val="049E640F"/>
    <w:rsid w:val="05500536"/>
    <w:rsid w:val="05AA6DFB"/>
    <w:rsid w:val="062E4A77"/>
    <w:rsid w:val="07CF5DE6"/>
    <w:rsid w:val="08E95BFB"/>
    <w:rsid w:val="08F33D56"/>
    <w:rsid w:val="09041C49"/>
    <w:rsid w:val="09F34C98"/>
    <w:rsid w:val="0A3D797F"/>
    <w:rsid w:val="0AC459AA"/>
    <w:rsid w:val="0B153BFE"/>
    <w:rsid w:val="0BA32A81"/>
    <w:rsid w:val="0D4B18AA"/>
    <w:rsid w:val="0E9246B3"/>
    <w:rsid w:val="0FAC4C5F"/>
    <w:rsid w:val="0FF2151C"/>
    <w:rsid w:val="10073757"/>
    <w:rsid w:val="106C2E0F"/>
    <w:rsid w:val="120E39AF"/>
    <w:rsid w:val="12DB20D6"/>
    <w:rsid w:val="148B578A"/>
    <w:rsid w:val="149D1BE1"/>
    <w:rsid w:val="14FB2910"/>
    <w:rsid w:val="15F630D7"/>
    <w:rsid w:val="16585EC8"/>
    <w:rsid w:val="16E66CA8"/>
    <w:rsid w:val="18A341B7"/>
    <w:rsid w:val="195E346D"/>
    <w:rsid w:val="1998697F"/>
    <w:rsid w:val="19A816D3"/>
    <w:rsid w:val="1A0933D9"/>
    <w:rsid w:val="1AC43EAF"/>
    <w:rsid w:val="1C625023"/>
    <w:rsid w:val="1CA83733"/>
    <w:rsid w:val="1CC23D13"/>
    <w:rsid w:val="1CEC2EEF"/>
    <w:rsid w:val="1CFA08A3"/>
    <w:rsid w:val="1D2420BC"/>
    <w:rsid w:val="1D311F94"/>
    <w:rsid w:val="1E4569AA"/>
    <w:rsid w:val="1F0A671B"/>
    <w:rsid w:val="1F212F73"/>
    <w:rsid w:val="1F902467"/>
    <w:rsid w:val="1FA300D3"/>
    <w:rsid w:val="2049683A"/>
    <w:rsid w:val="20B832A9"/>
    <w:rsid w:val="22210E4A"/>
    <w:rsid w:val="222A6896"/>
    <w:rsid w:val="22FA13D7"/>
    <w:rsid w:val="234E4553"/>
    <w:rsid w:val="23C245F9"/>
    <w:rsid w:val="245072D4"/>
    <w:rsid w:val="25DA20CE"/>
    <w:rsid w:val="280671AA"/>
    <w:rsid w:val="28781DC3"/>
    <w:rsid w:val="28926CDF"/>
    <w:rsid w:val="28B00846"/>
    <w:rsid w:val="28C762A0"/>
    <w:rsid w:val="29846D6C"/>
    <w:rsid w:val="2A1D41C5"/>
    <w:rsid w:val="2A842608"/>
    <w:rsid w:val="2B2F13CD"/>
    <w:rsid w:val="2B546E8B"/>
    <w:rsid w:val="2B852ADC"/>
    <w:rsid w:val="2BB159AD"/>
    <w:rsid w:val="2C017EC8"/>
    <w:rsid w:val="2C351E0C"/>
    <w:rsid w:val="2C9A6113"/>
    <w:rsid w:val="2CF73565"/>
    <w:rsid w:val="2F7C1F1A"/>
    <w:rsid w:val="30427C69"/>
    <w:rsid w:val="307279A7"/>
    <w:rsid w:val="31B61F59"/>
    <w:rsid w:val="321E544E"/>
    <w:rsid w:val="324F1648"/>
    <w:rsid w:val="326D20F6"/>
    <w:rsid w:val="327A41A7"/>
    <w:rsid w:val="32C0264B"/>
    <w:rsid w:val="336876DB"/>
    <w:rsid w:val="346520B9"/>
    <w:rsid w:val="34CA155F"/>
    <w:rsid w:val="358719C7"/>
    <w:rsid w:val="358E6735"/>
    <w:rsid w:val="35F81CA0"/>
    <w:rsid w:val="36E96615"/>
    <w:rsid w:val="37215DAE"/>
    <w:rsid w:val="378D3EAB"/>
    <w:rsid w:val="37CE75B8"/>
    <w:rsid w:val="3AFC485D"/>
    <w:rsid w:val="3B4736B1"/>
    <w:rsid w:val="3B815FB2"/>
    <w:rsid w:val="3B9062F7"/>
    <w:rsid w:val="3BE20963"/>
    <w:rsid w:val="3BF910A8"/>
    <w:rsid w:val="3CDE3362"/>
    <w:rsid w:val="3CE1073E"/>
    <w:rsid w:val="3D20626C"/>
    <w:rsid w:val="3D4E5701"/>
    <w:rsid w:val="3D5D1DC6"/>
    <w:rsid w:val="3E1A7D2C"/>
    <w:rsid w:val="3E285C74"/>
    <w:rsid w:val="3FE706A3"/>
    <w:rsid w:val="403E4F4B"/>
    <w:rsid w:val="405123C2"/>
    <w:rsid w:val="421E4F1A"/>
    <w:rsid w:val="43421BF3"/>
    <w:rsid w:val="43475309"/>
    <w:rsid w:val="437A387F"/>
    <w:rsid w:val="43B70946"/>
    <w:rsid w:val="457277D5"/>
    <w:rsid w:val="45AB5068"/>
    <w:rsid w:val="45DA351F"/>
    <w:rsid w:val="45EE0F6A"/>
    <w:rsid w:val="46011349"/>
    <w:rsid w:val="46703998"/>
    <w:rsid w:val="488204F9"/>
    <w:rsid w:val="494D658F"/>
    <w:rsid w:val="497F1DAA"/>
    <w:rsid w:val="499B44DD"/>
    <w:rsid w:val="49FC0FC9"/>
    <w:rsid w:val="4A0130C3"/>
    <w:rsid w:val="4B6C4CC7"/>
    <w:rsid w:val="4B8422C9"/>
    <w:rsid w:val="4B980739"/>
    <w:rsid w:val="4BC4555C"/>
    <w:rsid w:val="4BFA22D2"/>
    <w:rsid w:val="4C2736E3"/>
    <w:rsid w:val="4C4C6687"/>
    <w:rsid w:val="4C8917A9"/>
    <w:rsid w:val="4D25766E"/>
    <w:rsid w:val="4D981E9E"/>
    <w:rsid w:val="50672CDB"/>
    <w:rsid w:val="50D6006C"/>
    <w:rsid w:val="51B03B5F"/>
    <w:rsid w:val="547219D3"/>
    <w:rsid w:val="55AB3397"/>
    <w:rsid w:val="55B67EBB"/>
    <w:rsid w:val="563C259B"/>
    <w:rsid w:val="568F6454"/>
    <w:rsid w:val="56BA6499"/>
    <w:rsid w:val="57BB14B0"/>
    <w:rsid w:val="58206F20"/>
    <w:rsid w:val="5852375D"/>
    <w:rsid w:val="589324AE"/>
    <w:rsid w:val="58947CB9"/>
    <w:rsid w:val="58AF06E8"/>
    <w:rsid w:val="58D5034F"/>
    <w:rsid w:val="592163A9"/>
    <w:rsid w:val="596516D3"/>
    <w:rsid w:val="5A67207C"/>
    <w:rsid w:val="5BF037B4"/>
    <w:rsid w:val="5CA76309"/>
    <w:rsid w:val="5CB62246"/>
    <w:rsid w:val="5D1A6C78"/>
    <w:rsid w:val="5D1F14E8"/>
    <w:rsid w:val="5D50269A"/>
    <w:rsid w:val="5D5518AD"/>
    <w:rsid w:val="5E6E33E0"/>
    <w:rsid w:val="5F5521EA"/>
    <w:rsid w:val="5FBD37BF"/>
    <w:rsid w:val="5FDA1E64"/>
    <w:rsid w:val="5FEF21B5"/>
    <w:rsid w:val="604D13E6"/>
    <w:rsid w:val="60EF242C"/>
    <w:rsid w:val="61C251E9"/>
    <w:rsid w:val="621B1446"/>
    <w:rsid w:val="627115E3"/>
    <w:rsid w:val="629E7A04"/>
    <w:rsid w:val="64426584"/>
    <w:rsid w:val="65156755"/>
    <w:rsid w:val="651E6BDA"/>
    <w:rsid w:val="65DF473D"/>
    <w:rsid w:val="65E64613"/>
    <w:rsid w:val="670C581A"/>
    <w:rsid w:val="67572215"/>
    <w:rsid w:val="67634A1D"/>
    <w:rsid w:val="67D94F55"/>
    <w:rsid w:val="684C333C"/>
    <w:rsid w:val="687F5BE1"/>
    <w:rsid w:val="689F5836"/>
    <w:rsid w:val="68AE6E02"/>
    <w:rsid w:val="691B4A58"/>
    <w:rsid w:val="6AE646D7"/>
    <w:rsid w:val="6BE96194"/>
    <w:rsid w:val="6C6E368C"/>
    <w:rsid w:val="6C891725"/>
    <w:rsid w:val="6C9003BD"/>
    <w:rsid w:val="6CA64D36"/>
    <w:rsid w:val="6CA9147F"/>
    <w:rsid w:val="6FEF7AF1"/>
    <w:rsid w:val="701632CF"/>
    <w:rsid w:val="7040034C"/>
    <w:rsid w:val="715E66C8"/>
    <w:rsid w:val="71C823A7"/>
    <w:rsid w:val="71C965BE"/>
    <w:rsid w:val="7216444A"/>
    <w:rsid w:val="72CF1174"/>
    <w:rsid w:val="72E12BDD"/>
    <w:rsid w:val="73653F92"/>
    <w:rsid w:val="7386251A"/>
    <w:rsid w:val="73A016D5"/>
    <w:rsid w:val="753A180E"/>
    <w:rsid w:val="757A6455"/>
    <w:rsid w:val="75C8506C"/>
    <w:rsid w:val="75E95D5F"/>
    <w:rsid w:val="76017C17"/>
    <w:rsid w:val="760A7432"/>
    <w:rsid w:val="76234CA5"/>
    <w:rsid w:val="76242256"/>
    <w:rsid w:val="762B1157"/>
    <w:rsid w:val="76706DA7"/>
    <w:rsid w:val="76E1190C"/>
    <w:rsid w:val="77291B3A"/>
    <w:rsid w:val="776B7775"/>
    <w:rsid w:val="78D14237"/>
    <w:rsid w:val="79207EB6"/>
    <w:rsid w:val="7972098F"/>
    <w:rsid w:val="7A6A6EC3"/>
    <w:rsid w:val="7A85161C"/>
    <w:rsid w:val="7B346955"/>
    <w:rsid w:val="7B3665D4"/>
    <w:rsid w:val="7B4A5522"/>
    <w:rsid w:val="7EA1645A"/>
    <w:rsid w:val="7FA442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Body Text"/>
    <w:basedOn w:val="1"/>
    <w:link w:val="13"/>
    <w:qFormat/>
    <w:uiPriority w:val="0"/>
    <w:pPr>
      <w:spacing w:after="120"/>
    </w:pPr>
  </w:style>
  <w:style w:type="paragraph" w:styleId="3">
    <w:name w:val="Body Text Indent"/>
    <w:basedOn w:val="1"/>
    <w:qFormat/>
    <w:uiPriority w:val="0"/>
    <w:pPr>
      <w:spacing w:line="560" w:lineRule="exact"/>
      <w:ind w:left="868" w:hanging="868" w:hangingChars="434"/>
    </w:pPr>
    <w:rPr>
      <w:rFonts w:eastAsia="仿宋_GB2312"/>
      <w:sz w:val="28"/>
    </w:rPr>
  </w:style>
  <w:style w:type="paragraph" w:styleId="4">
    <w:name w:val="Date"/>
    <w:basedOn w:val="1"/>
    <w:next w:val="1"/>
    <w:uiPriority w:val="0"/>
    <w:pPr>
      <w:ind w:left="100" w:leftChars="2500"/>
    </w:pPr>
    <w:rPr>
      <w:rFonts w:eastAsia="仿宋_GB2312"/>
      <w:spacing w:val="-10"/>
      <w:sz w:val="32"/>
    </w:rPr>
  </w:style>
  <w:style w:type="paragraph" w:styleId="5">
    <w:name w:val="Balloon Text"/>
    <w:basedOn w:val="1"/>
    <w:semiHidden/>
    <w:uiPriority w:val="0"/>
    <w:rPr>
      <w:sz w:val="18"/>
      <w:szCs w:val="18"/>
    </w:rPr>
  </w:style>
  <w:style w:type="paragraph" w:styleId="6">
    <w:name w:val="footer"/>
    <w:basedOn w:val="1"/>
    <w:link w:val="12"/>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10">
    <w:name w:val="Strong"/>
    <w:basedOn w:val="9"/>
    <w:qFormat/>
    <w:uiPriority w:val="0"/>
    <w:rPr>
      <w:b/>
    </w:rPr>
  </w:style>
  <w:style w:type="character" w:styleId="11">
    <w:name w:val="page number"/>
    <w:basedOn w:val="9"/>
    <w:qFormat/>
    <w:uiPriority w:val="0"/>
  </w:style>
  <w:style w:type="character" w:customStyle="1" w:styleId="12">
    <w:name w:val="页脚 字符"/>
    <w:link w:val="6"/>
    <w:qFormat/>
    <w:uiPriority w:val="99"/>
    <w:rPr>
      <w:kern w:val="2"/>
      <w:sz w:val="18"/>
      <w:szCs w:val="18"/>
    </w:rPr>
  </w:style>
  <w:style w:type="character" w:customStyle="1" w:styleId="13">
    <w:name w:val="正文文本 字符"/>
    <w:basedOn w:val="9"/>
    <w:link w:val="2"/>
    <w:qFormat/>
    <w:uiPriority w:val="0"/>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261150-E034-44EA-98F9-A6C50B1B737F}">
  <ds:schemaRefs/>
</ds:datastoreItem>
</file>

<file path=docProps/app.xml><?xml version="1.0" encoding="utf-8"?>
<Properties xmlns="http://schemas.openxmlformats.org/officeDocument/2006/extended-properties" xmlns:vt="http://schemas.openxmlformats.org/officeDocument/2006/docPropsVTypes">
  <Template>Normal</Template>
  <Company>Microsoft China</Company>
  <Pages>8</Pages>
  <Words>3244</Words>
  <Characters>3293</Characters>
  <Lines>24</Lines>
  <Paragraphs>6</Paragraphs>
  <TotalTime>12</TotalTime>
  <ScaleCrop>false</ScaleCrop>
  <LinksUpToDate>false</LinksUpToDate>
  <CharactersWithSpaces>3313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2025-02-20T03:52:00Z</dcterms:created>
  <dc:creator>user1</dc:creator>
  <cp:lastModifiedBy>zmx</cp:lastModifiedBy>
  <cp:lastPrinted>2026-04-17T02:33:21Z</cp:lastPrinted>
  <dcterms:modified xsi:type="dcterms:W3CDTF">2026-04-17T02:38:41Z</dcterms:modified>
  <dc:title>吴献组[2008]1号</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948E82487E4A43B4B2E2FF1FB99523F3_13</vt:lpwstr>
  </property>
  <property fmtid="{D5CDD505-2E9C-101B-9397-08002B2CF9AE}" pid="4" name="KSOTemplateDocerSaveRecord">
    <vt:lpwstr>eyJoZGlkIjoiZTE3YTAzOGNjYjk4OTZlZGNlZmNjMDRiZGY2MGExYjkiLCJ1c2VySWQiOiI3MjkzMTc0ODUifQ==</vt:lpwstr>
  </property>
</Properties>
</file>