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hAnsi="Times New Roman" w:eastAsia="黑体"/>
          <w:sz w:val="32"/>
          <w:szCs w:val="32"/>
        </w:rPr>
      </w:pPr>
      <w:r>
        <w:rPr>
          <w:rFonts w:ascii="Times New Roman" w:hAnsi="黑体" w:eastAsia="黑体"/>
          <w:sz w:val="32"/>
          <w:szCs w:val="32"/>
        </w:rPr>
        <w:t>附件</w:t>
      </w:r>
    </w:p>
    <w:p>
      <w:pPr>
        <w:jc w:val="center"/>
        <w:rPr>
          <w:rFonts w:ascii="Times New Roman" w:hAnsi="Times New Roman" w:eastAsia="仿宋_GB2312"/>
          <w:sz w:val="32"/>
          <w:szCs w:val="32"/>
        </w:rPr>
      </w:pPr>
      <w:r>
        <w:rPr>
          <w:rFonts w:hint="eastAsia" w:ascii="Times New Roman" w:hAnsi="Times New Roman" w:eastAsia="方正小标宋简体"/>
          <w:sz w:val="44"/>
          <w:szCs w:val="44"/>
          <w:lang w:eastAsia="zh-CN"/>
        </w:rPr>
        <w:t>苏州市公安局吴中分局</w:t>
      </w:r>
      <w:r>
        <w:rPr>
          <w:rFonts w:ascii="Times New Roman" w:hAnsi="Times New Roman" w:eastAsia="方正小标宋简体"/>
          <w:sz w:val="44"/>
          <w:szCs w:val="44"/>
        </w:rPr>
        <w:t>行政检查事项清单</w:t>
      </w:r>
    </w:p>
    <w:tbl>
      <w:tblPr>
        <w:tblStyle w:val="6"/>
        <w:tblW w:w="148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74"/>
        <w:gridCol w:w="570"/>
        <w:gridCol w:w="546"/>
        <w:gridCol w:w="840"/>
        <w:gridCol w:w="4785"/>
        <w:gridCol w:w="800"/>
        <w:gridCol w:w="1017"/>
        <w:gridCol w:w="1225"/>
        <w:gridCol w:w="2544"/>
        <w:gridCol w:w="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序号</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检查事项</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检查主体</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检查机构</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检查对象</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Times New Roman" w:eastAsia="黑体"/>
                <w:kern w:val="0"/>
                <w:sz w:val="24"/>
              </w:rPr>
              <w:t>检查依据</w:t>
            </w: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检查方式</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黑体" w:eastAsia="黑体"/>
                <w:kern w:val="0"/>
                <w:sz w:val="24"/>
              </w:rPr>
            </w:pPr>
            <w:r>
              <w:rPr>
                <w:rFonts w:hint="eastAsia" w:ascii="Times New Roman" w:hAnsi="黑体" w:eastAsia="黑体"/>
                <w:kern w:val="0"/>
                <w:sz w:val="24"/>
              </w:rPr>
              <w:t>检查</w:t>
            </w:r>
          </w:p>
          <w:p>
            <w:pPr>
              <w:jc w:val="center"/>
              <w:rPr>
                <w:rFonts w:ascii="Times New Roman" w:hAnsi="黑体" w:eastAsia="黑体"/>
                <w:kern w:val="0"/>
                <w:sz w:val="24"/>
              </w:rPr>
            </w:pPr>
            <w:r>
              <w:rPr>
                <w:rFonts w:hint="eastAsia" w:ascii="Times New Roman" w:hAnsi="黑体" w:eastAsia="黑体"/>
                <w:kern w:val="0"/>
                <w:sz w:val="24"/>
              </w:rPr>
              <w:t>频次</w:t>
            </w:r>
          </w:p>
          <w:p>
            <w:pPr>
              <w:jc w:val="center"/>
              <w:rPr>
                <w:rFonts w:ascii="Times New Roman" w:hAnsi="Times New Roman" w:eastAsia="黑体"/>
                <w:kern w:val="0"/>
                <w:sz w:val="24"/>
              </w:rPr>
            </w:pPr>
            <w:r>
              <w:rPr>
                <w:rFonts w:hint="eastAsia" w:ascii="Times New Roman" w:hAnsi="黑体" w:eastAsia="黑体"/>
                <w:kern w:val="0"/>
                <w:sz w:val="24"/>
              </w:rPr>
              <w:t>（时间）</w:t>
            </w:r>
          </w:p>
        </w:tc>
        <w:tc>
          <w:tcPr>
            <w:tcW w:w="376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对应的行政权力事项</w:t>
            </w:r>
          </w:p>
        </w:tc>
        <w:tc>
          <w:tcPr>
            <w:tcW w:w="483"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2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权力编码</w:t>
            </w:r>
          </w:p>
        </w:tc>
        <w:tc>
          <w:tcPr>
            <w:tcW w:w="2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权力名称</w:t>
            </w:r>
          </w:p>
        </w:tc>
        <w:tc>
          <w:tcPr>
            <w:tcW w:w="4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1</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对旅馆业治安情况的行政检查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r>
              <w:rPr>
                <w:rFonts w:hint="eastAsia" w:ascii="Times New Roman" w:hAnsi="Times New Roman" w:eastAsia="方正仿宋_GBK"/>
                <w:kern w:val="0"/>
                <w:szCs w:val="21"/>
                <w:shd w:val="clear" w:color="auto" w:fill="FFFFFF"/>
                <w:lang w:eastAsia="zh-CN"/>
              </w:rPr>
              <w:t>吴中分局</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w:t>
            </w:r>
            <w:r>
              <w:rPr>
                <w:rFonts w:hint="eastAsia" w:ascii="Times New Roman" w:hAnsi="Times New Roman" w:eastAsia="方正仿宋_GBK"/>
                <w:kern w:val="0"/>
                <w:szCs w:val="21"/>
                <w:shd w:val="clear" w:color="auto" w:fill="FFFFFF"/>
                <w:lang w:eastAsia="zh-CN"/>
              </w:rPr>
              <w:t>部门</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旅馆业</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《旅馆业治安管理办法》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第四条　申请开办旅馆，应取得市场监管部门核发的营业执照，向当地公安机关申领特种行业许可证后，方准开业。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经批准开业的旅馆，如有歇业、转业、合并、迁移、改变名称等情况，应当在市场监管部门办理变更登记后3日内，向当地的县、市公安局、公安分局备案。</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第五条　经营旅馆，必须遵守国家的法律，建立各项安全管理制度，设置治安保卫组织或者指定安全保卫人员。</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第六条　旅馆接待旅客住宿必须登记。登记时，应当查验旅客的身份证件，按规定的项目如实登记。</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接待境外旅客住宿，还应当在24小时内向当地公安机关报送住宿登记表。</w:t>
            </w: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检查</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根据风险研判实际情况开展抽查检查</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320209903000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对未按规定传输、报送登记信息的处罚</w:t>
            </w:r>
          </w:p>
        </w:tc>
        <w:tc>
          <w:tcPr>
            <w:tcW w:w="483" w:type="dxa"/>
            <w:vMerge w:val="restart"/>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320209239000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对不按规定登记住宿旅客信息或不制止住宿旅客带入危险物质行为的处罚</w:t>
            </w:r>
          </w:p>
        </w:tc>
        <w:tc>
          <w:tcPr>
            <w:tcW w:w="483" w:type="dxa"/>
            <w:vMerge w:val="continue"/>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2</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对保安服务公司取得许可证情况的行政检查</w:t>
            </w: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lang w:val="en-US" w:eastAsia="zh-CN"/>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r>
              <w:rPr>
                <w:rFonts w:hint="eastAsia" w:ascii="Times New Roman" w:hAnsi="Times New Roman" w:eastAsia="方正仿宋_GBK"/>
                <w:kern w:val="0"/>
                <w:szCs w:val="21"/>
                <w:shd w:val="clear" w:color="auto" w:fill="FFFFFF"/>
                <w:lang w:eastAsia="zh-CN"/>
              </w:rPr>
              <w:t>吴中分局</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w:t>
            </w:r>
            <w:r>
              <w:rPr>
                <w:rFonts w:hint="eastAsia" w:ascii="Times New Roman" w:hAnsi="Times New Roman" w:eastAsia="方正仿宋_GBK"/>
                <w:kern w:val="0"/>
                <w:szCs w:val="21"/>
                <w:shd w:val="clear" w:color="auto" w:fill="FFFFFF"/>
                <w:lang w:eastAsia="zh-CN"/>
              </w:rPr>
              <w:t>部门</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保安服务业</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《保安服务管理条例》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第八条　保安服务公司应当具备下列条件：</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（一）有不低于人民币100万元的注册资本；</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（二）拟任的保安服务公司法定代表人和主要管理人员应当具备任职所需的专业知识和有关业务工作经验，无被刑事处罚、劳动教养、收容教育、强制隔离戒毒或者被开除公职、开除军籍等不良记录；</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（三）有与所提供的保安服务相适应的专业技术人员，其中法律、行政法规有资格要求的专业技术人员，应当取得相应的资格；</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（四）有住所和提供保安服务所需的设施、装备；</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（五）有健全的组织机构和保安服务管理制度、岗位责任制度、保安员管理制度。</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第九条　申请设立保安服务公司，应当向所在地设区的市级人民政府公安机关提交申请书以及能够证明其符合本条例第八条规定条件的材料。</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受理的公安机关应当自收到申请材料之日起15日内进行审核，并将审核意见报所在地的省、自治区、直辖市人民政府公安机关。省、自治区、直辖市人民政府公安机关应当自收到审核意见之日起15日内作出决定，对符合条件的，核发保安服务许可证；对不符合条件的，书面通知申请人并说明理由。</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第十二条　取得保安服务许可证的申请人，凭保安服务许可证到工商行政管理机关办理工商登记。取得保安服务许可证后超过6个月未办理工商登记的，取得的保安服务许可证失效。</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保安服务公司设立分公司的，应当向分公司所在地设区的市级人民政府公安机关备案。备案应当提供总公司的保安服务许可证和工商营业执照，总公司法定代表人、分公司负责人和保安员的基本情况。</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保安服务公司的法定代表人变更的，应当经原审批公安机关审核，持审核文件到工商行政管理机关办理变更登记。</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现场检查、书面检查</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根据风险研判实际情况开展抽查检查</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320209815000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对保安服务公司法定代表人变更未经公安机关审核的处罚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对保安服务公司未对客户单位要求提供的保安服务的合法性进行核查或者未将违法的保安服务要求向公安机关报告的处罚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对保安服务公司未按照规定签订、留存保安服务合同的处罚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对保安从业单位未按照规定留存保安服务中形成的监控影像资料、报警记录的处罚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对客户单位未按照规定留存保安服务中形成的监控影像资料、报警记录的处罚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对保安从业单位泄露在保安服务中获知的国家秘密、商业秘密以及客户单位明确要求保密的信息的处罚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对保安从业单位使用监控设备侵犯他人合法权益或者个人隐私的处罚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对保安从业单位删改或者扩散保安服务中形成的监控影像资料、报警记录的处罚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320209228000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对保安从业单位指使、纵容保安员阻碍依法执行公务、参与追索债务、采用暴力或者以暴力相威胁的手段处置纠纷的处罚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320209875000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对保安从业单位对保安员疏于管理、教育和培训，发生保安员违法犯罪案件，造成严重后果的处罚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320209876000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对客户单位删改或者扩散保安服务中形成的监控影像资料、报警记录的处罚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5"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default" w:ascii="Times New Roman" w:hAnsi="Times New Roman" w:eastAsia="方正仿宋_GBK"/>
                <w:kern w:val="0"/>
                <w:szCs w:val="21"/>
                <w:shd w:val="clear" w:color="auto" w:fill="FFFFFF"/>
                <w:lang w:val="en-US" w:eastAsia="zh-CN"/>
              </w:rPr>
            </w:pPr>
            <w:r>
              <w:rPr>
                <w:rFonts w:hint="eastAsia" w:ascii="Times New Roman" w:hAnsi="Times New Roman" w:eastAsia="方正仿宋_GBK"/>
                <w:kern w:val="0"/>
                <w:szCs w:val="21"/>
                <w:shd w:val="clear" w:color="auto" w:fill="FFFFFF"/>
                <w:lang w:val="en-US" w:eastAsia="zh-CN"/>
              </w:rPr>
              <w:t>3</w:t>
            </w: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对枪支单位落实治安管理制度的行政检查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w:t>
            </w:r>
            <w:r>
              <w:rPr>
                <w:rFonts w:hint="eastAsia" w:ascii="Times New Roman" w:hAnsi="Times New Roman" w:eastAsia="方正仿宋_GBK"/>
                <w:kern w:val="0"/>
                <w:szCs w:val="21"/>
                <w:shd w:val="clear" w:color="auto" w:fill="FFFFFF"/>
                <w:lang w:eastAsia="zh-CN"/>
              </w:rPr>
              <w:t>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枪支单位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《中华人民共和国枪支管理法》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第十三条　国家对枪支的制造、配售实行特别许可制度。未经许可，任何单位或者个人不得制造、买卖枪支。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第十七条　制造民用枪支的企业不得超过限额制造民用枪支，所制造的民用枪支必须全部交由指定的民用枪支配售企业配售，不得自行销售。配售民用枪支的企业应当在配售限额内，配售指定的企业制造的民用枪支。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第十八条　制造民用枪支的企业，必须严格按照国家规定的技术标准制造民用枪支，不得改变民用枪支的性能和结构；必须在民用枪支指定部位铸印制造厂的厂名、枪种代码和国务院公安部门统一编制的枪支序号，不得制造无号、重号、假号的民用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制造民用枪支的企业必须实行封闭式管理，采取必要的安全保卫措施，防止民用枪支以及民用枪支零部件丢失。</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第十九条　配售民用枪支，必须核对配购证件，严格按照配购证件载明的品种、型号和数量配售；配售弹药，必须核对持枪证件。民用枪支配售企业必须按照国务院公安部门的规定建立配售帐册，长期保管备查。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第二十条　公安机关对制造、配售民用枪支的企业制造、配售、储存和帐册登记等情况，必须进行定期检查；必要时，可以派专人驻厂对制造企业进行监督、检查。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第二十二条　禁止制造、销售仿真枪。</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《射击竞技体育运动枪支管理办法》（国家体育总局、公安部令第12号）</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第三十七条　射击竞技体育运动单位有下列行为之一的，由公安机关没收运动枪支，体育行政部门依照有关规定，给予当事人行政处分：</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（一）未按规定办理《民用枪支持枪证》的；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（二）未按规定上交报废运动枪支的；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（三）私自借用运动枪支的；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（四）在非射击运动场地进行射击活动的；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（五）在禁止携带枪支的区域、场所携带运动枪支的。</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根据风险研判实际情况开展抽查检查</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320209271000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对违规制造枪支的处罚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320209290000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对违规配售枪支行为的处罚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对违规销售枪支行为的处罚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对违规运输枪支行为的处罚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对非法出租、出借枪支行为的处罚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对未按规定标准制造民用枪支行为的处罚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对不上缴报废枪支行为的处罚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对丢失枪支不报行为的处罚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对制造、销售仿真枪行为的处罚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对运动枪支没收的处罚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4</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对民用爆炸物品单位治安防范制度落实情况的行政检查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r>
              <w:rPr>
                <w:rFonts w:hint="eastAsia" w:ascii="Times New Roman" w:hAnsi="Times New Roman" w:eastAsia="方正仿宋_GBK"/>
                <w:kern w:val="0"/>
                <w:szCs w:val="21"/>
                <w:shd w:val="clear" w:color="auto" w:fill="FFFFFF"/>
                <w:lang w:eastAsia="zh-CN"/>
              </w:rPr>
              <w:t>吴中分局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w:t>
            </w:r>
            <w:r>
              <w:rPr>
                <w:rFonts w:hint="eastAsia" w:ascii="Times New Roman" w:hAnsi="Times New Roman" w:eastAsia="方正仿宋_GBK"/>
                <w:kern w:val="0"/>
                <w:szCs w:val="21"/>
                <w:shd w:val="clear" w:color="auto" w:fill="FFFFFF"/>
                <w:lang w:eastAsia="zh-CN"/>
              </w:rPr>
              <w:t>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民用爆炸物品从业单位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《民用爆炸物品安全管理条例》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第二十二条　民用爆炸物品生产企业凭《民用爆炸物品生产许可证》购买属于民用爆炸物品的原料，民用爆炸物品销售企业凭《民用爆炸物品销售许可证》向民用爆炸物品生产企业购买民用爆炸物品，民用爆炸物品使用单位凭《民用爆炸物品购买许可证》购买民用爆炸物品，还应当提供经办人的身份证明。</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销售民用爆炸物品的企业，应当查验前款规定的许可证和经办人的身份证明；对持《民用爆炸物品购买许可证》购买的，应当按照许可的品种、数量销售。</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第二十三条　销售、购买民用爆炸物品，应当通过银行账户进行交易，不得使用现金或者实物进行交易。</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销售民用爆炸物品的企业，应当将购买单位的许可证、银行账户转账凭证、经办人的身份证明复印件保存2年备查。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第二十七条　运输民用爆炸物品的，应当凭《民用爆炸物品运输许可证》，按照许可的品种、数量运输。</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第二十八条　经由道路运输民用爆炸物品的，应当遵守下列规定：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（一）携带《民用爆炸物品运输许可证》；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（二）民用爆炸物品的装载符合国家有关标准和规范，车厢内不得载人；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（三）运输车辆安全技术状况应当符合国家有关安全技术标准的要求，并按照规定悬挂或者安装符合国家标准的易燃易爆危险物品警示标志；</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（四）运输民用爆炸物品的车辆应当保持安全车速；</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（五）按照规定的路线行驶，途中经停应当有专人看守，并远离建筑设施和人口稠密的地方，不得在许可以外的地点经停；</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（六）按照安全操作规程装卸民用爆炸物品，并在装卸现场设置警戒，禁止无关人员进入；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（七）出现危险情况立即采取必要的应急处置措施，并报告当地公安机关。</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第二十九条　民用爆炸物品运达目的地，收货单位应当进行验收后在《民用爆炸物品运输许可证》上签注，并在3日内将《民用爆炸物品运输许可证》交回发证机关核销。</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第三十五条　在城市、风景名胜区和重要工程设施附近实施爆破作业的，应当向爆破作业所在地设区的市级人民政府公安机关提出申请，提交《爆破作业单位许可证》和具有相应资质的安全评估企业出具的爆破设计、施工方案评估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第四十条　民用爆炸物品应当储存在专用仓库内，并按照国家规定设置技术防范设施。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第四十一条　储存民用爆炸物品应当遵守下列规定：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（一）建立出入库检查、登记制度，收存和发放民用爆炸物品必须进行登记，做到账目清楚，账物相符；</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（二）储存的民用爆炸物品数量不得超过储存设计容量，对性质相抵触的民用爆炸物品必须分库储存，严禁在库房内存放其他物品；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（三）专用仓库应当指定专人管理、看护，严禁无关人员进入仓库区内，严禁在仓库区内吸烟和用火，严禁把其他容易引起燃烧、爆炸的物品带入仓库区内，严禁在库房内住宿和进行其他活动；</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（四）民用爆炸物品丢失、被盗、被抢，应当立即报告当地公安机关。</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对未经许可购买、运输民用爆炸物品或者从事爆炸作业的处罚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对未按规定对民用爆炸物品作出警示、登记标识行为的处罚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320209715000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对超出许可购买民用爆炸物品行为的处罚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320209939000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对使用现金、实物交易民用爆炸物品行为的处罚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对销售民用爆炸物品未按规定保存交易证明材料行为的处罚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320209010000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对销售、购买、进出口民用爆炸物品未按规定备案行为的处罚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对未按规定建立民用爆炸物品登记制度行为的处罚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对未按规定核销民用爆炸物品运输许可证行为的处罚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对违反许可事项运输民用爆炸物品行为的处罚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对未携带许可证运输民用爆炸物品行为的处罚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对违规混装民用爆炸物品行为的处罚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对民用爆炸物品运输车辆未按规定悬挂、安装警示标志行为的处罚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320209737000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对违反行驶、停靠规定运输民用爆炸物品行为的处罚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对装载民用爆炸物品的车厢载人行为的处罚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对运输民用爆炸物品发生危险未处置行为的处罚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对运输民用爆炸物品发生危险不报行为的处罚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320209982000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对未按资质等级从事爆破作业行为的处罚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320209983000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对营业性爆破作业单位跨区域作业未报告行为的处罚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320209357000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对违反标准实施爆破作业行为的处罚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320209368000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对未按规定设置民用爆炸物品专用仓库技术防范设施行为的处罚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对违反制度致使民用爆炸物品丢失、被盗、被抢行为的处罚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对民用爆炸物品丢失、被盗、被抢，未按照规定向当地公安机关报告或者故意隐瞒不报的处罚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对非法转让、出借、转借、抵押、赠送民用爆炸物品行为的处罚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5</w:t>
            </w: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对剧毒、易制爆危险化学品单位治安防范制度落实情况的行政检查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r>
              <w:rPr>
                <w:rFonts w:hint="eastAsia" w:ascii="Times New Roman" w:hAnsi="Times New Roman" w:eastAsia="方正仿宋_GBK"/>
                <w:kern w:val="0"/>
                <w:szCs w:val="21"/>
                <w:shd w:val="clear" w:color="auto" w:fill="FFFFFF"/>
                <w:lang w:eastAsia="zh-CN"/>
              </w:rPr>
              <w:t>吴中分局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w:t>
            </w:r>
            <w:r>
              <w:rPr>
                <w:rFonts w:hint="eastAsia" w:ascii="Times New Roman" w:hAnsi="Times New Roman" w:eastAsia="方正仿宋_GBK"/>
                <w:kern w:val="0"/>
                <w:szCs w:val="21"/>
                <w:shd w:val="clear" w:color="auto" w:fill="FFFFFF"/>
                <w:lang w:eastAsia="zh-CN"/>
              </w:rPr>
              <w:t>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危险化学品从业单位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《危险化学品安全管理条例》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第二十三条　生产、储存剧毒化学品或者国务院公安部门规定的可用于制造爆炸物品的危险化学品（以下简称易制爆危险化学品）的单位，应当如实记录其生产、储存的剧毒化学品、易制爆危险化学品的数量、流向，并采取必要的安全防范措施，防止剧毒化学品、易制爆危险化学品丢失或者被盗；发现剧毒化学品、易制爆危险化学品丢失或者被盗的，应当立即向当地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生产、储存剧毒化学品、易制爆危险化学品的单位，应当设置治安保卫机构，配备专职治安保卫人员。</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第二十六条　危险化学品专用仓库应当符合国家标准、行业标准的要求，并设置明显的标志。储存剧毒化学品、易制爆危险化学品的专用仓库，应当按照国家有关规定设置相应的技术防范设施。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储存危险化学品的单位应当对其危险化学品专用仓库的安全设施、设备定期进行检测、检验。</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第四十条　危险化学品生产企业、经营企业销售剧毒化学品、易制爆危险化学品，应当查验本条例第三十八条第一款、第二款规定的相关许可证件或者证明文件，不得向不具有相关许可证件或者证明文件的单位销售剧毒化学品、易制爆危险化学品。对持剧毒化学品购买许可证购买剧毒化学品的，应当按照许可证载明的品种、数量销售。</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禁止向个人销售剧毒化学品（属于剧毒化学品的农药除外）和易制爆危险化学品。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第四十一条　危险化学品生产企业、经营企业销售剧毒化学品、易制爆危险化学品，应当如实记录购买单位的名称、地址、经办人的姓名、身份证号码以及所购买的剧毒化学品、易制爆危险化学品的品种、数量、用途。销售记录以及经办人的身份证明复印件、相关许可证件复印件或者证明文件的保存期限不得少于1年。</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剧毒化学品、易制爆危险化学品的销售企业、购买单位应当在销售、购买后5日内，将所销售、购买的剧毒化学品、易制爆危险化学品的品种、数量以及流向信息报所在地县级人民政府公安机关备案，并输入计算机系统。</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第四十二条　使用剧毒化学品、易制爆危险化学品的单位不得出借、转让其购买的剧毒化学品、易制爆危险化学品；因转产、停产、搬迁、关闭等确需转让的，应当向具有本条例第三十八条第一款、第二款规定的相关许可证件或者证明文件的单位转让，并在转让后将有关情况及时向所在地县级人民政府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320209776000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对剧毒化学品、易制爆危险化学品专用仓库未按规定设置技术防范设施行为的处罚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对未如实记录剧毒化学品、易制爆危险化学品数量、流向行为的处罚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对储存剧毒化学品未备案行为的处罚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对未记录剧毒化学品、易制爆危险化学品购买信息行为的处罚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对未按规定期限保存剧毒化学品、易制爆危险化学品销售记录、材料行为的处罚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对未按规定期限备案剧毒化学品、易制爆危险化学品销售、购买信息行为的处罚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320209998000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对转让剧毒化学品、易制爆危险化学品不报行为的处罚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3202GA009000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对转产、停产、停业、解散未备案处置方案行为的处罚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320209848000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对单位未经许可购买剧毒化学品、易制爆危险化学品行为的处罚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320209299000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对个人非法购买剧毒化学品、易制爆危险化学品行为的处罚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对单位非法出借、转让剧毒化学品、易制爆危险化学品行为的处罚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对单位伪造、变造、出租、出借、转让剧毒化学品许可证件行为的处罚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jc w:val="left"/>
            </w:pPr>
          </w:p>
        </w:tc>
        <w:tc>
          <w:tcPr>
            <w:tcW w:w="1574" w:type="dxa"/>
            <w:vMerge w:val="continue"/>
            <w:tcBorders>
              <w:left w:val="single" w:color="auto" w:sz="4" w:space="0"/>
              <w:bottom w:val="single" w:color="auto" w:sz="4" w:space="0"/>
              <w:right w:val="single" w:color="auto" w:sz="4" w:space="0"/>
            </w:tcBorders>
            <w:vAlign w:val="center"/>
          </w:tcPr>
          <w:p>
            <w:pPr>
              <w:jc w:val="left"/>
            </w:pPr>
          </w:p>
        </w:tc>
        <w:tc>
          <w:tcPr>
            <w:tcW w:w="570" w:type="dxa"/>
            <w:vMerge w:val="continue"/>
            <w:tcBorders>
              <w:left w:val="single" w:color="auto" w:sz="4" w:space="0"/>
              <w:bottom w:val="single" w:color="auto" w:sz="4" w:space="0"/>
              <w:right w:val="single" w:color="auto" w:sz="4" w:space="0"/>
            </w:tcBorders>
            <w:vAlign w:val="center"/>
          </w:tcPr>
          <w:p>
            <w:pPr>
              <w:jc w:val="left"/>
            </w:pPr>
          </w:p>
        </w:tc>
        <w:tc>
          <w:tcPr>
            <w:tcW w:w="546" w:type="dxa"/>
            <w:vMerge w:val="continue"/>
            <w:tcBorders>
              <w:left w:val="single" w:color="auto" w:sz="4" w:space="0"/>
              <w:bottom w:val="single" w:color="auto" w:sz="4" w:space="0"/>
              <w:right w:val="single" w:color="auto" w:sz="4" w:space="0"/>
            </w:tcBorders>
            <w:vAlign w:val="center"/>
          </w:tcPr>
          <w:p>
            <w:pPr>
              <w:jc w:val="left"/>
            </w:pPr>
          </w:p>
        </w:tc>
        <w:tc>
          <w:tcPr>
            <w:tcW w:w="840" w:type="dxa"/>
            <w:vMerge w:val="continue"/>
            <w:tcBorders>
              <w:left w:val="single" w:color="auto" w:sz="4" w:space="0"/>
              <w:bottom w:val="single" w:color="auto" w:sz="4" w:space="0"/>
              <w:right w:val="single" w:color="auto" w:sz="4" w:space="0"/>
            </w:tcBorders>
            <w:vAlign w:val="center"/>
          </w:tcPr>
          <w:p>
            <w:pPr>
              <w:jc w:val="left"/>
            </w:pPr>
          </w:p>
        </w:tc>
        <w:tc>
          <w:tcPr>
            <w:tcW w:w="4785" w:type="dxa"/>
            <w:vMerge w:val="continue"/>
            <w:tcBorders>
              <w:left w:val="single" w:color="auto" w:sz="4" w:space="0"/>
              <w:bottom w:val="single" w:color="auto" w:sz="4" w:space="0"/>
              <w:right w:val="single" w:color="auto" w:sz="4" w:space="0"/>
            </w:tcBorders>
            <w:vAlign w:val="center"/>
          </w:tcPr>
          <w:p>
            <w:pPr>
              <w:jc w:val="left"/>
            </w:pPr>
          </w:p>
        </w:tc>
        <w:tc>
          <w:tcPr>
            <w:tcW w:w="800" w:type="dxa"/>
            <w:vMerge w:val="continue"/>
            <w:tcBorders>
              <w:left w:val="single" w:color="auto" w:sz="4" w:space="0"/>
              <w:bottom w:val="single" w:color="auto" w:sz="4" w:space="0"/>
              <w:right w:val="single" w:color="auto" w:sz="4" w:space="0"/>
            </w:tcBorders>
            <w:vAlign w:val="center"/>
          </w:tcPr>
          <w:p>
            <w:pPr>
              <w:jc w:val="left"/>
            </w:pPr>
          </w:p>
        </w:tc>
        <w:tc>
          <w:tcPr>
            <w:tcW w:w="1017" w:type="dxa"/>
            <w:vMerge w:val="continue"/>
            <w:tcBorders>
              <w:left w:val="single" w:color="auto" w:sz="4" w:space="0"/>
              <w:bottom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320209014000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对单位使用伪造、变造的剧毒化学品许可证件行为的处罚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 w:hRule="atLeast"/>
          <w:jc w:val="center"/>
        </w:trPr>
        <w:tc>
          <w:tcPr>
            <w:tcW w:w="510" w:type="dxa"/>
            <w:vMerge w:val="restart"/>
            <w:vAlign w:val="center"/>
          </w:tcPr>
          <w:p>
            <w:pPr>
              <w:jc w:val="left"/>
              <w:rPr>
                <w:rFonts w:hint="default"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9</w:t>
            </w:r>
          </w:p>
        </w:tc>
        <w:tc>
          <w:tcPr>
            <w:tcW w:w="1574"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对反恐防范重点目标的行政检查</w:t>
            </w:r>
          </w:p>
        </w:tc>
        <w:tc>
          <w:tcPr>
            <w:tcW w:w="57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r>
              <w:rPr>
                <w:rFonts w:hint="eastAsia" w:ascii="Times New Roman" w:hAnsi="Times New Roman" w:eastAsia="方正仿宋_GBK"/>
                <w:kern w:val="0"/>
                <w:szCs w:val="21"/>
                <w:shd w:val="clear" w:color="auto" w:fill="FFFFFF"/>
                <w:lang w:eastAsia="zh-CN"/>
              </w:rPr>
              <w:t>吴中分局</w:t>
            </w:r>
          </w:p>
        </w:tc>
        <w:tc>
          <w:tcPr>
            <w:tcW w:w="546"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eastAsia="zh-CN"/>
              </w:rPr>
              <w:t>反恐</w:t>
            </w:r>
            <w:r>
              <w:rPr>
                <w:rFonts w:hint="eastAsia" w:ascii="Times New Roman" w:hAnsi="Times New Roman" w:eastAsia="方正仿宋_GBK"/>
                <w:kern w:val="0"/>
                <w:szCs w:val="21"/>
                <w:shd w:val="clear" w:color="auto" w:fill="FFFFFF"/>
              </w:rPr>
              <w:t>部门</w:t>
            </w:r>
          </w:p>
        </w:tc>
        <w:tc>
          <w:tcPr>
            <w:tcW w:w="84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反恐目标</w:t>
            </w:r>
          </w:p>
        </w:tc>
        <w:tc>
          <w:tcPr>
            <w:tcW w:w="4785"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val="en-US" w:eastAsia="zh-CN"/>
              </w:rPr>
              <w:t>【法律】</w:t>
            </w:r>
            <w:r>
              <w:rPr>
                <w:rFonts w:hint="eastAsia" w:ascii="Times New Roman" w:hAnsi="Times New Roman" w:eastAsia="方正仿宋_GBK"/>
                <w:kern w:val="0"/>
                <w:szCs w:val="21"/>
                <w:shd w:val="clear" w:color="auto" w:fill="FFFFFF"/>
                <w:lang w:eastAsia="zh-CN"/>
              </w:rPr>
              <w:t>《中华人民共和国反恐怖主义法》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第三十一条 公安机关应当会同有关部门，将遭受恐怖袭击的可能性较大以及遭受恐怖袭击可能造成重大的人身伤亡、财产损失或者社会影响的单位、场所、活动、设施等确定为防范恐怖袭击的重点目标，报本级反恐怖主义工作领导机构备案。</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第三十二条 重点目标的管理单位应当履行下列职责：</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（一）制定防范和应对处置恐怖活动的预案、措施，定期进行培训和演练；</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（二）建立反恐怖主义工作专项经费保障制度，配备、更新防范和处置设备、设施；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（三）指定相关机构或者落实责任人员，明确岗位职责；</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（四）实行风险评估，实时监测安全威胁，完善内部安全管理；</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五）定期向公安机关和有关部门报告防范措施落实情况。重点目标的管理单位应当根据城乡规划、相关标准和实际需要，对重点目标同步设计、同步建设、同步运行符合本法第二十七条规定的技防、物防设备、设施。重点目标的管理单位应当建立公共安全视频图像信息系统值班监看、信息保存使用、运行维护等管理制度，保障相关系统正常运行。采集的视频图像信息保存期限不得少于九十日。对重点目标以外的涉及公共安全的其他单位、场所、活动、设施，其主管部门和管理单位应当依照法律、行政法规规定，建立健全安全管理制度，落实安全责任。</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第三十三条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 xml:space="preserve"> 重点目标的管理单位应当对重要岗位人员进行安全背景审查。对有不适合情形的人员，应当调整工作岗位，并将有关情况通报公安机关。</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 xml:space="preserve">第三十四条 </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大型活动承办单位以及重点目标的管理单位应当依照规定，对进入大型活动场所、机场、火车站、码头、城市轨道交通站、公路长途客运站、口岸等重点目标的人员、物品和交通工具进行安全检查。发现违禁品和管制物品，应当予以扣留并立即向公安机关报告；发现涉嫌违法犯罪人员，应当立即向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第三十五条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 xml:space="preserve"> 对航空器、列车、船舶、城市轨道车辆、公共电汽车等公共交通运输工具，营运单位应当依照规定配备安保人员和相应设备、设施，加强安全检查和保卫工作。</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第三十六条 公安机关和有关部门应当掌握重点目标的基础信息和重要动态，指导、监督重点目标的管理单位履行防范恐怖袭击的各项职责。公安机关、中国人民武装警察部队应当依照有关规定对重点目标进行警戒、巡逻、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第八十八条 防范恐怖袭击重点目标的管理、营运单位违反本法规定，有下列情形之一的，由公安机关给予警告，并责令改正；拒不改正的，处十万元以下罚款，并对其直接负责的主管人员和其他直接责任人员处一万元以下罚款:</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（一）未制定防范和应对处置恐怖活动的预案、措施的；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（二）未建立反恐怖主义工作专项经费保障制度，或者未配备防范和处置设备、设施的；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（三）未落实工作机构或者责任人员的；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（四）未对重要岗位人员进行安全背景审查，或者未将有不适合情形的人员调整工作岗位的；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（五）对公共交通运输工具未依照规定配备安保人员和相应设备、设施的；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eastAsia="zh-CN"/>
              </w:rPr>
              <w:t>（六）未建立公共安全视频图像信息系统值班监看、信息保存使用、运行维护等管理制度的。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tc>
        <w:tc>
          <w:tcPr>
            <w:tcW w:w="80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检查</w:t>
            </w:r>
          </w:p>
        </w:tc>
        <w:tc>
          <w:tcPr>
            <w:tcW w:w="1017" w:type="dxa"/>
            <w:vMerge w:val="restart"/>
            <w:vAlign w:val="center"/>
          </w:tcPr>
          <w:p>
            <w:pPr>
              <w:overflowPunct w:val="0"/>
              <w:adjustRightInd w:val="0"/>
              <w:snapToGrid w:val="0"/>
              <w:spacing w:line="240" w:lineRule="exact"/>
              <w:jc w:val="left"/>
              <w:rPr>
                <w:rFonts w:hint="default" w:ascii="Times New Roman" w:hAnsi="Times New Roman" w:eastAsia="方正仿宋_GBK"/>
                <w:kern w:val="0"/>
                <w:szCs w:val="21"/>
                <w:shd w:val="clear" w:color="auto" w:fill="FFFFFF"/>
                <w:lang w:val="en-US" w:eastAsia="zh-CN"/>
              </w:rPr>
            </w:pPr>
            <w:r>
              <w:rPr>
                <w:rFonts w:hint="eastAsia" w:ascii="Times New Roman" w:hAnsi="Times New Roman" w:eastAsia="方正仿宋_GBK"/>
                <w:kern w:val="0"/>
                <w:szCs w:val="21"/>
                <w:shd w:val="clear" w:color="auto" w:fill="FFFFFF"/>
                <w:lang w:eastAsia="zh-CN"/>
              </w:rPr>
              <w:t>根据风险研判实际情况开展抽查检查</w:t>
            </w:r>
          </w:p>
        </w:tc>
        <w:tc>
          <w:tcPr>
            <w:tcW w:w="1225"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320209861000</w:t>
            </w:r>
          </w:p>
        </w:tc>
        <w:tc>
          <w:tcPr>
            <w:tcW w:w="2544"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对防范恐怖袭击重点目标的管理、营运单位未制定防范和应对处置恐怖活动的预案、措施的处罚。</w:t>
            </w:r>
          </w:p>
        </w:tc>
        <w:tc>
          <w:tcPr>
            <w:tcW w:w="483" w:type="dxa"/>
            <w:vMerge w:val="restart"/>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320209917000</w:t>
            </w:r>
          </w:p>
        </w:tc>
        <w:tc>
          <w:tcPr>
            <w:tcW w:w="2544"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对防范恐怖袭击重点目标的管理、营运单位未建立反恐怖主义工作专项经费保障制度，或者未配备防范和处置设备、设施的处罚。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6"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default" w:ascii="Times New Roman" w:hAnsi="Times New Roman" w:cs="Times New Roman"/>
                <w:bCs/>
                <w:kern w:val="0"/>
                <w:sz w:val="18"/>
                <w:szCs w:val="18"/>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320209934000</w:t>
            </w:r>
          </w:p>
        </w:tc>
        <w:tc>
          <w:tcPr>
            <w:tcW w:w="2544" w:type="dxa"/>
            <w:vAlign w:val="center"/>
          </w:tcPr>
          <w:p>
            <w:pPr>
              <w:keepNext w:val="0"/>
              <w:keepLines w:val="0"/>
              <w:widowControl/>
              <w:suppressLineNumbers w:val="0"/>
              <w:jc w:val="left"/>
              <w:textAlignment w:val="center"/>
              <w:rPr>
                <w:rFonts w:ascii="Times New Roman" w:hAnsi="Times New Roman"/>
                <w:bCs/>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对防范恐怖袭击重点目标的管理、营运单位未落实工作机构或者责任人员的处罚。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default" w:ascii="Times New Roman" w:hAnsi="Times New Roman" w:cs="Times New Roman"/>
                <w:b/>
                <w:kern w:val="0"/>
                <w:sz w:val="18"/>
                <w:szCs w:val="18"/>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320209897000</w:t>
            </w:r>
          </w:p>
        </w:tc>
        <w:tc>
          <w:tcPr>
            <w:tcW w:w="2544" w:type="dxa"/>
            <w:vAlign w:val="center"/>
          </w:tcPr>
          <w:p>
            <w:pPr>
              <w:keepNext w:val="0"/>
              <w:keepLines w:val="0"/>
              <w:widowControl/>
              <w:suppressLineNumbers w:val="0"/>
              <w:jc w:val="left"/>
              <w:textAlignment w:val="center"/>
              <w:rPr>
                <w:rFonts w:ascii="Times New Roman" w:hAnsi="Times New Roman"/>
                <w:b/>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对防范恐怖袭击重点目标的管理、营运单位未对重要岗位人员进行安全背景审查，或者未将有不适合情形的人员调整工作岗位的处罚。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320209898000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对防范恐怖袭击重点目标的管理、营运单位对公共交通运输工具未依照规定配备安保人员和相应设备、设施的处罚。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320209899000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对防范恐怖袭击重点目标的管理、营运单位未建立公共安全视频图像信息系统值班监看、信息保存使用、运行维护等管理制度的处罚。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320209269000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对大型活动承办单位以及重点目标的管理单位未按规定进行安全检查的处罚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default" w:ascii="Times New Roman" w:hAnsi="Times New Roman" w:eastAsia="方正仿宋_GBK" w:cs="Times New Roman"/>
                <w:b w:val="0"/>
                <w:bCs w:val="0"/>
                <w:kern w:val="0"/>
                <w:sz w:val="21"/>
                <w:szCs w:val="21"/>
                <w:lang w:val="en-US" w:eastAsia="zh-CN"/>
              </w:rPr>
              <w:t>10</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lang w:eastAsia="zh-CN"/>
              </w:rPr>
              <w:t>对</w:t>
            </w:r>
            <w:r>
              <w:rPr>
                <w:rFonts w:hint="eastAsia" w:ascii="方正仿宋_GBK" w:hAnsi="方正仿宋_GBK" w:eastAsia="方正仿宋_GBK" w:cs="方正仿宋_GBK"/>
                <w:b w:val="0"/>
                <w:bCs w:val="0"/>
                <w:kern w:val="0"/>
                <w:sz w:val="21"/>
                <w:szCs w:val="21"/>
                <w:shd w:val="clear" w:color="auto" w:fill="FFFFFF"/>
              </w:rPr>
              <w:t>单位内部治安保卫工作</w:t>
            </w:r>
            <w:r>
              <w:rPr>
                <w:rFonts w:hint="eastAsia" w:ascii="方正仿宋_GBK" w:hAnsi="方正仿宋_GBK" w:eastAsia="方正仿宋_GBK" w:cs="方正仿宋_GBK"/>
                <w:b w:val="0"/>
                <w:bCs w:val="0"/>
                <w:kern w:val="0"/>
                <w:sz w:val="21"/>
                <w:szCs w:val="21"/>
                <w:shd w:val="clear" w:color="auto" w:fill="FFFFFF"/>
                <w:lang w:eastAsia="zh-CN"/>
              </w:rPr>
              <w:t>的</w:t>
            </w:r>
            <w:r>
              <w:rPr>
                <w:rFonts w:hint="eastAsia" w:ascii="方正仿宋_GBK" w:hAnsi="方正仿宋_GBK" w:eastAsia="方正仿宋_GBK" w:cs="方正仿宋_GBK"/>
                <w:b w:val="0"/>
                <w:bCs w:val="0"/>
                <w:kern w:val="0"/>
                <w:sz w:val="21"/>
                <w:szCs w:val="21"/>
                <w:shd w:val="clear" w:color="auto" w:fill="FFFFFF"/>
              </w:rPr>
              <w:t>监督检查</w:t>
            </w:r>
          </w:p>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苏州市公安局吴中分局</w:t>
            </w:r>
          </w:p>
        </w:tc>
        <w:tc>
          <w:tcPr>
            <w:tcW w:w="546"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eastAsia="zh-CN"/>
              </w:rPr>
              <w:t>人管部门</w:t>
            </w:r>
          </w:p>
        </w:tc>
        <w:tc>
          <w:tcPr>
            <w:tcW w:w="84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企事业单位</w:t>
            </w:r>
          </w:p>
        </w:tc>
        <w:tc>
          <w:tcPr>
            <w:tcW w:w="4785" w:type="dxa"/>
            <w:vMerge w:val="restart"/>
            <w:vAlign w:val="center"/>
          </w:tcPr>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lang w:eastAsia="zh-CN"/>
              </w:rPr>
            </w:pPr>
            <w:r>
              <w:rPr>
                <w:rFonts w:hint="eastAsia" w:ascii="方正仿宋_GBK" w:hAnsi="方正仿宋_GBK" w:eastAsia="方正仿宋_GBK" w:cs="方正仿宋_GBK"/>
                <w:b w:val="0"/>
                <w:bCs w:val="0"/>
                <w:kern w:val="0"/>
                <w:sz w:val="21"/>
                <w:szCs w:val="21"/>
                <w:shd w:val="clear" w:color="auto" w:fill="FFFFFF"/>
                <w:lang w:eastAsia="zh-CN"/>
              </w:rPr>
              <w:t>【行政法规】《企业事业单位内部治安保卫条例》</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第三条</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 xml:space="preserve"> 国务院公安部门指导、监督全国的单位内部治安保卫工作，对行业、系统有监管职责的国务院有关部门指导、检查本行业、本系统的单位内部治安保卫工作；县级以上地方各级人民政府公安机关指导、监督本行政区域内的单位内部治安保卫工作，对行业、系统有监管职责的县级以上地方各级人民政府有关部门指导、检查本行政区域内的本行业、本系统的单位内部治安保卫工作，及时解决单位内部治安保卫工作中的突出问题。</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 xml:space="preserve">第十六条 </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公安机关对本行政区域内的单位内部治安保卫工作履行下列职责：</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（一）指导单位制定、完善内部治安保卫制度，落实治安防范措施，指导治安保卫人员队伍建设和治安保卫重点单位的治安保卫机构建设；</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（二）检查、指导单位的内部治安保卫工作，发现单位有违反本条例规定的行为或者治安隐患，及时下达整改通知书，责令限期整改；</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lang w:eastAsia="zh-CN"/>
              </w:rPr>
            </w:pPr>
            <w:r>
              <w:rPr>
                <w:rFonts w:hint="eastAsia" w:ascii="方正仿宋_GBK" w:hAnsi="方正仿宋_GBK" w:eastAsia="方正仿宋_GBK" w:cs="方正仿宋_GBK"/>
                <w:b w:val="0"/>
                <w:bCs w:val="0"/>
                <w:kern w:val="0"/>
                <w:sz w:val="21"/>
                <w:szCs w:val="21"/>
                <w:shd w:val="clear" w:color="auto" w:fill="FFFFFF"/>
              </w:rPr>
              <w:t>（三）接到单位内部发生治安案件、涉嫌刑事犯罪案件的报警，及时出警，依法处置。</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lang w:eastAsia="zh-CN"/>
              </w:rPr>
              <w:t>【地方性法规】</w:t>
            </w:r>
            <w:r>
              <w:rPr>
                <w:rFonts w:hint="eastAsia" w:ascii="方正仿宋_GBK" w:hAnsi="方正仿宋_GBK" w:eastAsia="方正仿宋_GBK" w:cs="方正仿宋_GBK"/>
                <w:b w:val="0"/>
                <w:bCs w:val="0"/>
                <w:kern w:val="0"/>
                <w:sz w:val="21"/>
                <w:szCs w:val="21"/>
                <w:shd w:val="clear" w:color="auto" w:fill="FFFFFF"/>
              </w:rPr>
              <w:t>《江苏省企业事业单位内部治安保卫条例》</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 xml:space="preserve">第二十四条 </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公安机关对本行政区域内单位的内部治安保卫工作履行下列职责：</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（一）指导单位建设治安保卫队伍，制定、完善内部治安保卫制度，落实治安防范措施；</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（二）监督、检查单位的内部治安保卫工作，发现单位有违反内部治安保卫法规行为的，及时下达整改通知书，责令限期整改；</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（三）接到单位内部发生治安案件、涉嫌刑事犯罪案件、治安突发事件的报警，及时出警，依法处置。</w:t>
            </w:r>
          </w:p>
        </w:tc>
        <w:tc>
          <w:tcPr>
            <w:tcW w:w="80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现场检查</w:t>
            </w:r>
          </w:p>
        </w:tc>
        <w:tc>
          <w:tcPr>
            <w:tcW w:w="1017"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无明确检查频次要求</w:t>
            </w:r>
          </w:p>
        </w:tc>
        <w:tc>
          <w:tcPr>
            <w:tcW w:w="1225" w:type="dxa"/>
            <w:vAlign w:val="center"/>
          </w:tcPr>
          <w:p>
            <w:pPr>
              <w:jc w:val="left"/>
              <w:rPr>
                <w:rFonts w:hint="eastAsia" w:ascii="方正仿宋_GBK" w:hAnsi="方正仿宋_GBK" w:eastAsia="方正仿宋_GBK" w:cs="方正仿宋_GBK"/>
                <w:b w:val="0"/>
                <w:bCs w:val="0"/>
                <w:kern w:val="0"/>
                <w:sz w:val="21"/>
                <w:szCs w:val="21"/>
              </w:rPr>
            </w:pPr>
            <w:r>
              <w:rPr>
                <w:rFonts w:hint="default" w:ascii="Times New Roman" w:hAnsi="Times New Roman" w:eastAsia="方正仿宋_GBK" w:cs="Times New Roman"/>
                <w:b w:val="0"/>
                <w:bCs w:val="0"/>
                <w:kern w:val="0"/>
                <w:sz w:val="21"/>
                <w:szCs w:val="21"/>
              </w:rPr>
              <w:t>3202GA022000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对单位不落实单位内部治安保卫措施逾期不整改的处罚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jc w:val="left"/>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kern w:val="0"/>
                <w:sz w:val="21"/>
                <w:szCs w:val="21"/>
              </w:rPr>
              <w:t>3202GA023000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对单位不落实单位内部治安保卫措施整改期间未采取必要的防范措施造成人身伤害、财产损失的处罚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jc w:val="left"/>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kern w:val="0"/>
                <w:sz w:val="21"/>
                <w:szCs w:val="21"/>
              </w:rPr>
              <w:t>3202GA067000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11</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对</w:t>
            </w:r>
            <w:r>
              <w:rPr>
                <w:rFonts w:hint="eastAsia" w:ascii="方正仿宋_GBK" w:hAnsi="方正仿宋_GBK" w:eastAsia="方正仿宋_GBK" w:cs="方正仿宋_GBK"/>
                <w:b w:val="0"/>
                <w:bCs w:val="0"/>
                <w:sz w:val="21"/>
                <w:szCs w:val="21"/>
                <w:lang w:val="en-US" w:eastAsia="zh-CN"/>
              </w:rPr>
              <w:t>易制毒化学品单位</w:t>
            </w:r>
            <w:r>
              <w:rPr>
                <w:rFonts w:hint="eastAsia" w:ascii="方正仿宋_GBK" w:hAnsi="方正仿宋_GBK" w:eastAsia="方正仿宋_GBK" w:cs="方正仿宋_GBK"/>
                <w:b w:val="0"/>
                <w:bCs w:val="0"/>
                <w:sz w:val="21"/>
                <w:szCs w:val="21"/>
              </w:rPr>
              <w:t>取得</w:t>
            </w:r>
            <w:r>
              <w:rPr>
                <w:rFonts w:hint="eastAsia" w:ascii="方正仿宋_GBK" w:hAnsi="方正仿宋_GBK" w:eastAsia="方正仿宋_GBK" w:cs="方正仿宋_GBK"/>
                <w:b w:val="0"/>
                <w:bCs w:val="0"/>
                <w:sz w:val="21"/>
                <w:szCs w:val="21"/>
                <w:lang w:val="en-US" w:eastAsia="zh-CN"/>
              </w:rPr>
              <w:t>购买（运输）</w:t>
            </w:r>
            <w:r>
              <w:rPr>
                <w:rFonts w:hint="eastAsia" w:ascii="方正仿宋_GBK" w:hAnsi="方正仿宋_GBK" w:eastAsia="方正仿宋_GBK" w:cs="方正仿宋_GBK"/>
                <w:b w:val="0"/>
                <w:bCs w:val="0"/>
                <w:sz w:val="21"/>
                <w:szCs w:val="21"/>
              </w:rPr>
              <w:t>许可</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lang w:val="en-US" w:eastAsia="zh-CN"/>
              </w:rPr>
              <w:t>备案</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rPr>
              <w:t>证</w:t>
            </w:r>
            <w:r>
              <w:rPr>
                <w:rFonts w:hint="eastAsia" w:ascii="方正仿宋_GBK" w:hAnsi="方正仿宋_GBK" w:eastAsia="方正仿宋_GBK" w:cs="方正仿宋_GBK"/>
                <w:b w:val="0"/>
                <w:bCs w:val="0"/>
                <w:sz w:val="21"/>
                <w:szCs w:val="21"/>
                <w:lang w:val="en-US" w:eastAsia="zh-CN"/>
              </w:rPr>
              <w:t>明</w:t>
            </w:r>
            <w:r>
              <w:rPr>
                <w:rFonts w:hint="eastAsia" w:ascii="方正仿宋_GBK" w:hAnsi="方正仿宋_GBK" w:eastAsia="方正仿宋_GBK" w:cs="方正仿宋_GBK"/>
                <w:b w:val="0"/>
                <w:bCs w:val="0"/>
                <w:sz w:val="21"/>
                <w:szCs w:val="21"/>
              </w:rPr>
              <w:t>情况的行政检查</w:t>
            </w:r>
          </w:p>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restart"/>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苏州市公安局吴中分局</w:t>
            </w:r>
          </w:p>
        </w:tc>
        <w:tc>
          <w:tcPr>
            <w:tcW w:w="546" w:type="dxa"/>
            <w:vMerge w:val="restart"/>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禁毒部门</w:t>
            </w:r>
          </w:p>
        </w:tc>
        <w:tc>
          <w:tcPr>
            <w:tcW w:w="840" w:type="dxa"/>
            <w:vMerge w:val="restart"/>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sz w:val="21"/>
                <w:szCs w:val="21"/>
                <w:lang w:val="en-US" w:eastAsia="zh-CN"/>
              </w:rPr>
              <w:t>易制毒化学品单位</w:t>
            </w:r>
          </w:p>
        </w:tc>
        <w:tc>
          <w:tcPr>
            <w:tcW w:w="4785" w:type="dxa"/>
            <w:vMerge w:val="restart"/>
            <w:vAlign w:val="center"/>
          </w:tcPr>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w:t>
            </w:r>
            <w:r>
              <w:rPr>
                <w:rFonts w:hint="eastAsia" w:ascii="方正仿宋_GBK" w:hAnsi="方正仿宋_GBK" w:eastAsia="方正仿宋_GBK" w:cs="方正仿宋_GBK"/>
                <w:b w:val="0"/>
                <w:bCs w:val="0"/>
                <w:strike w:val="0"/>
                <w:dstrike w:val="0"/>
                <w:color w:val="auto"/>
                <w:sz w:val="21"/>
                <w:szCs w:val="21"/>
                <w:highlight w:val="none"/>
                <w:lang w:eastAsia="zh-CN"/>
              </w:rPr>
              <w:t>公安部规章</w:t>
            </w:r>
            <w:r>
              <w:rPr>
                <w:rFonts w:hint="eastAsia" w:ascii="方正仿宋_GBK" w:hAnsi="方正仿宋_GBK" w:eastAsia="方正仿宋_GBK" w:cs="方正仿宋_GBK"/>
                <w:b w:val="0"/>
                <w:bCs w:val="0"/>
                <w:sz w:val="21"/>
                <w:szCs w:val="21"/>
              </w:rPr>
              <w:t>】《易制毒化学品购销和运输管理办法》</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第二条  公安部是全国易制毒化学品购销、运输管理和监督检查的主管部门。</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县级以上地方人民政府公安机关负责本辖区内易制毒化学品购销、运输管理和监督检查工作。</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各省、自治区、直辖市和设区的市级人民政府公安机关禁毒部门应当设立易制毒化学品管理专门机构，县级人民政府公安机关应当设专门人员，负责易制毒化学品的购买、运输许可或者备案和监督检查工作。</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第二十六条</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rPr>
              <w:t xml:space="preserve"> 县级以上人民政府公安机关应当加强对易制毒化学品购销和运输等情况的监督检查，有关单位和个人应当积极配合。对发现非法购销和运输行为的，公安机关应当依法查处。</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公安机关在进行易制毒化学品监督检查时，可以依法查看现场、查阅和复制有关资料、记录有关情况、扣押相关的证据材料和违法物品；必要时，可以临时查封有关场所。</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被检查的单位或者个人应当如实提供有关情况和材料、物品，不得拒绝或者隐匿。</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第二十八条  购买、销售和运输易制毒化学品的单位应当于每年三月三十一日前向所在地县级公安机关报告上年度的购买、销售和运输情况。公安机关发现可疑情况的，应当及时予以核对和检查，必要时可以进行实地核查。</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有条件的购买、销售和运输单位，可以与当地公安机关建立计算机联网，及时通报有关情况。</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sz w:val="21"/>
                <w:szCs w:val="21"/>
              </w:rPr>
              <w:t>第二十九条  易制毒化学品丢失、被盗、被抢的，发案单位应当立即向当地公安机关报告。接到报案的公安机关应当及时立案查处，并向上级公安机关报告。</w:t>
            </w:r>
          </w:p>
        </w:tc>
        <w:tc>
          <w:tcPr>
            <w:tcW w:w="800"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现场检查、书面检查</w:t>
            </w:r>
          </w:p>
        </w:tc>
        <w:tc>
          <w:tcPr>
            <w:tcW w:w="1017"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全</w:t>
            </w:r>
            <w:r>
              <w:rPr>
                <w:rFonts w:hint="eastAsia" w:ascii="方正仿宋_GBK" w:hAnsi="方正仿宋_GBK" w:eastAsia="方正仿宋_GBK" w:cs="方正仿宋_GBK"/>
                <w:b w:val="0"/>
                <w:bCs w:val="0"/>
                <w:kern w:val="0"/>
                <w:sz w:val="21"/>
                <w:szCs w:val="21"/>
              </w:rPr>
              <w:t>年</w:t>
            </w: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3202GA015000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对转借易制毒化学品购买、运输许可证、备案证明的处罚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320209987000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对使用现金、实物交易易制毒化学品的处罚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320209986000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对易制毒化学品丢失、被盗、被抢不报（未及时报告）的处罚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320209985000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对使用他人的或者伪造、变造、失效的许可证或者备案证明生产、经营、购买、运输易制毒化学品的处罚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320209984000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对伪造申请材料骗取易制毒化学品生产、经营、购买或者运输许可证的处罚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7"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320209966000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对易制毒化学品生产、经营、购买、运输或者进口、出口单位未按规定建立安全管理制度的处罚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320209854000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对易制毒化学品的产品包装和使用说明书不符合规定要求的处罚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320209845000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对经营易制毒化学品的单位未按规定报告易制毒化学品年度经销和库存情况的处罚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320209752000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对易制毒化学品生产、使用企业和化工企业违反规定，未如实登记并报告相关信息的处罚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320209445000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对拒不接受易制毒化学品监督检查的处罚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320209208000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对违规携带易制毒化学品的处罚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320209207000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对超出购买许可证或者备案证明的品种、数量销售易制毒化学品的处罚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320209206000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对向无购买许可证或者备案证明的单位或者个人销售易制毒化学品的处罚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jc w:val="center"/>
        </w:trPr>
        <w:tc>
          <w:tcPr>
            <w:tcW w:w="510" w:type="dxa"/>
            <w:vMerge w:val="restart"/>
            <w:vAlign w:val="center"/>
          </w:tcPr>
          <w:p>
            <w:pPr>
              <w:jc w:val="left"/>
              <w:rPr>
                <w:rFonts w:hint="default"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12</w:t>
            </w:r>
          </w:p>
        </w:tc>
        <w:tc>
          <w:tcPr>
            <w:tcW w:w="1574" w:type="dxa"/>
            <w:vMerge w:val="restart"/>
            <w:vAlign w:val="center"/>
          </w:tcPr>
          <w:p>
            <w:pPr>
              <w:overflowPunct w:val="0"/>
              <w:autoSpaceDE w:val="0"/>
              <w:autoSpaceDN w:val="0"/>
              <w:jc w:val="left"/>
              <w:rPr>
                <w:rFonts w:hint="default" w:ascii="Times New Roman" w:hAnsi="Times New Roman" w:eastAsia="方正仿宋_GBK"/>
                <w:kern w:val="0"/>
                <w:sz w:val="18"/>
                <w:szCs w:val="18"/>
                <w:lang w:val="en-US" w:eastAsia="zh-CN"/>
              </w:rPr>
            </w:pPr>
            <w:r>
              <w:rPr>
                <w:rFonts w:hint="eastAsia" w:ascii="Times New Roman" w:hAnsi="方正仿宋_GBK" w:eastAsia="方正仿宋_GBK"/>
                <w:szCs w:val="21"/>
              </w:rPr>
              <w:t>对活动承办者及场所管理者落实安全工作措施情况</w:t>
            </w:r>
            <w:r>
              <w:rPr>
                <w:rFonts w:hint="eastAsia" w:ascii="Times New Roman" w:hAnsi="方正仿宋_GBK" w:eastAsia="方正仿宋_GBK"/>
                <w:szCs w:val="21"/>
                <w:lang w:val="en-US" w:eastAsia="zh-CN"/>
              </w:rPr>
              <w:t>的行政检查</w:t>
            </w:r>
          </w:p>
        </w:tc>
        <w:tc>
          <w:tcPr>
            <w:tcW w:w="570" w:type="dxa"/>
            <w:vMerge w:val="restart"/>
            <w:vAlign w:val="center"/>
          </w:tcPr>
          <w:p>
            <w:pPr>
              <w:overflowPunct w:val="0"/>
              <w:autoSpaceDE w:val="0"/>
              <w:autoSpaceDN w:val="0"/>
              <w:jc w:val="left"/>
              <w:rPr>
                <w:rFonts w:ascii="Times New Roman" w:hAnsi="Times New Roman"/>
                <w:kern w:val="0"/>
                <w:sz w:val="18"/>
                <w:szCs w:val="18"/>
              </w:rPr>
            </w:pPr>
            <w:r>
              <w:rPr>
                <w:rFonts w:hint="eastAsia" w:ascii="Times New Roman" w:hAnsi="方正仿宋_GBK" w:eastAsia="方正仿宋_GBK"/>
                <w:szCs w:val="21"/>
              </w:rPr>
              <w:t>苏州市公安局</w:t>
            </w:r>
            <w:r>
              <w:rPr>
                <w:rFonts w:hint="eastAsia" w:ascii="Times New Roman" w:hAnsi="方正仿宋_GBK" w:eastAsia="方正仿宋_GBK"/>
                <w:szCs w:val="21"/>
                <w:lang w:eastAsia="zh-CN"/>
              </w:rPr>
              <w:t>吴中分局</w:t>
            </w:r>
          </w:p>
        </w:tc>
        <w:tc>
          <w:tcPr>
            <w:tcW w:w="546" w:type="dxa"/>
            <w:vMerge w:val="restart"/>
            <w:vAlign w:val="center"/>
          </w:tcPr>
          <w:p>
            <w:pPr>
              <w:overflowPunct w:val="0"/>
              <w:autoSpaceDE w:val="0"/>
              <w:autoSpaceDN w:val="0"/>
              <w:jc w:val="left"/>
              <w:rPr>
                <w:rFonts w:hint="default" w:ascii="Times New Roman" w:hAnsi="Times New Roman" w:eastAsia="宋体"/>
                <w:kern w:val="0"/>
                <w:sz w:val="18"/>
                <w:szCs w:val="18"/>
                <w:lang w:val="en-US" w:eastAsia="zh-CN"/>
              </w:rPr>
            </w:pPr>
            <w:r>
              <w:rPr>
                <w:rFonts w:hint="eastAsia" w:ascii="Times New Roman" w:hAnsi="方正仿宋_GBK" w:eastAsia="方正仿宋_GBK"/>
                <w:szCs w:val="21"/>
                <w:lang w:val="en-US" w:eastAsia="zh-CN"/>
              </w:rPr>
              <w:t>巡特警部门</w:t>
            </w:r>
          </w:p>
        </w:tc>
        <w:tc>
          <w:tcPr>
            <w:tcW w:w="840" w:type="dxa"/>
            <w:vMerge w:val="restart"/>
            <w:vAlign w:val="center"/>
          </w:tcPr>
          <w:p>
            <w:pPr>
              <w:overflowPunct w:val="0"/>
              <w:autoSpaceDE w:val="0"/>
              <w:autoSpaceDN w:val="0"/>
              <w:spacing w:line="320" w:lineRule="exact"/>
              <w:jc w:val="left"/>
              <w:rPr>
                <w:rFonts w:ascii="Times New Roman" w:hAnsi="Times New Roman"/>
                <w:kern w:val="0"/>
                <w:sz w:val="18"/>
                <w:szCs w:val="18"/>
              </w:rPr>
            </w:pPr>
            <w:r>
              <w:rPr>
                <w:rFonts w:hint="eastAsia" w:ascii="Times New Roman" w:hAnsi="方正仿宋_GBK" w:eastAsia="方正仿宋_GBK"/>
                <w:szCs w:val="21"/>
              </w:rPr>
              <w:t>活动承办者、场所管理者</w:t>
            </w:r>
          </w:p>
        </w:tc>
        <w:tc>
          <w:tcPr>
            <w:tcW w:w="4785" w:type="dxa"/>
            <w:vMerge w:val="restart"/>
            <w:vAlign w:val="center"/>
          </w:tcPr>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rPr>
              <w:t>大型群众性活动安全管理条例</w:t>
            </w:r>
            <w:r>
              <w:rPr>
                <w:rFonts w:hint="eastAsia" w:ascii="方正仿宋_GBK" w:hAnsi="方正仿宋_GBK" w:eastAsia="方正仿宋_GBK" w:cs="方正仿宋_GBK"/>
                <w:b w:val="0"/>
                <w:bCs w:val="0"/>
                <w:sz w:val="21"/>
                <w:szCs w:val="21"/>
                <w:lang w:eastAsia="zh-CN"/>
              </w:rPr>
              <w:t>》</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第十条</w:t>
            </w:r>
            <w:r>
              <w:rPr>
                <w:rFonts w:hint="eastAsia" w:ascii="方正仿宋_GBK" w:hAnsi="方正仿宋_GBK" w:eastAsia="方正仿宋_GBK" w:cs="方正仿宋_GBK"/>
                <w:b w:val="0"/>
                <w:bCs w:val="0"/>
                <w:sz w:val="21"/>
                <w:szCs w:val="21"/>
                <w:lang w:eastAsia="zh-CN"/>
              </w:rPr>
              <w:t>第四项、第五项</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rPr>
              <w:t>公安机关应当履行下列职责：</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 xml:space="preserve">（四）在大型群众性活动举办前，对活动场所组织安全检查，发现安全隐患及时责令改正； </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（五）在大型群众性活动举办过程中，对安全工作的落实情况实施监督检查，发现安全隐患及时责令改正；</w:t>
            </w:r>
          </w:p>
          <w:p>
            <w:pPr>
              <w:overflowPunct w:val="0"/>
              <w:adjustRightInd w:val="0"/>
              <w:snapToGrid w:val="0"/>
              <w:spacing w:line="240" w:lineRule="exact"/>
              <w:jc w:val="left"/>
              <w:rPr>
                <w:rFonts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《营业性演出管理条例》</w:t>
            </w:r>
          </w:p>
          <w:p>
            <w:pPr>
              <w:overflowPunct w:val="0"/>
              <w:adjustRightInd w:val="0"/>
              <w:snapToGrid w:val="0"/>
              <w:spacing w:line="240" w:lineRule="exact"/>
              <w:jc w:val="left"/>
              <w:rPr>
                <w:rFonts w:ascii="Times New Roman" w:hAnsi="Times New Roman"/>
                <w:kern w:val="0"/>
                <w:sz w:val="18"/>
                <w:szCs w:val="18"/>
              </w:rPr>
            </w:pPr>
            <w:r>
              <w:rPr>
                <w:rFonts w:hint="eastAsia" w:ascii="Times New Roman" w:hAnsi="Times New Roman" w:eastAsia="方正仿宋_GBK"/>
                <w:kern w:val="0"/>
                <w:szCs w:val="21"/>
                <w:shd w:val="clear" w:color="auto" w:fill="FFFFFF"/>
              </w:rPr>
              <w:t>第三十六条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rPr>
              <w:t>公安部门对其依照有关法律、行政法规和国家有关规定批准的营业性演出，应当在演出举办前对营业性演出现场的安全状况进行实地检查；发现安全隐患的，在消除安全隐患后方可允许进行营业性演出。</w:t>
            </w:r>
          </w:p>
        </w:tc>
        <w:tc>
          <w:tcPr>
            <w:tcW w:w="800" w:type="dxa"/>
            <w:vMerge w:val="restart"/>
            <w:vAlign w:val="center"/>
          </w:tcPr>
          <w:p>
            <w:pPr>
              <w:overflowPunct w:val="0"/>
              <w:autoSpaceDE w:val="0"/>
              <w:autoSpaceDN w:val="0"/>
              <w:jc w:val="left"/>
              <w:rPr>
                <w:rFonts w:hint="eastAsia" w:ascii="Times New Roman" w:hAnsi="方正仿宋_GBK" w:eastAsia="方正仿宋_GBK"/>
                <w:szCs w:val="21"/>
              </w:rPr>
            </w:pPr>
            <w:r>
              <w:rPr>
                <w:rFonts w:hint="eastAsia" w:ascii="Times New Roman" w:hAnsi="方正仿宋_GBK" w:eastAsia="方正仿宋_GBK"/>
                <w:szCs w:val="21"/>
              </w:rPr>
              <w:t>现场</w:t>
            </w:r>
          </w:p>
          <w:p>
            <w:pPr>
              <w:overflowPunct w:val="0"/>
              <w:autoSpaceDE w:val="0"/>
              <w:autoSpaceDN w:val="0"/>
              <w:jc w:val="left"/>
              <w:rPr>
                <w:rFonts w:ascii="Times New Roman" w:hAnsi="Times New Roman"/>
                <w:kern w:val="0"/>
                <w:sz w:val="18"/>
                <w:szCs w:val="18"/>
              </w:rPr>
            </w:pPr>
            <w:r>
              <w:rPr>
                <w:rFonts w:hint="eastAsia" w:ascii="Times New Roman" w:hAnsi="方正仿宋_GBK" w:eastAsia="方正仿宋_GBK"/>
                <w:szCs w:val="21"/>
              </w:rPr>
              <w:t>检查</w:t>
            </w:r>
          </w:p>
        </w:tc>
        <w:tc>
          <w:tcPr>
            <w:tcW w:w="1017" w:type="dxa"/>
            <w:vMerge w:val="restart"/>
            <w:vAlign w:val="center"/>
          </w:tcPr>
          <w:p>
            <w:pPr>
              <w:jc w:val="left"/>
              <w:rPr>
                <w:rFonts w:ascii="Times New Roman" w:hAnsi="Times New Roman"/>
                <w:b/>
                <w:kern w:val="0"/>
                <w:sz w:val="18"/>
                <w:szCs w:val="18"/>
              </w:rPr>
            </w:pPr>
            <w:r>
              <w:rPr>
                <w:rFonts w:hint="eastAsia" w:ascii="Times New Roman" w:hAnsi="方正仿宋_GBK" w:eastAsia="方正仿宋_GBK"/>
                <w:szCs w:val="21"/>
                <w:lang w:val="en-US" w:eastAsia="zh-CN"/>
              </w:rPr>
              <w:t>全年（</w:t>
            </w:r>
            <w:r>
              <w:rPr>
                <w:rFonts w:hint="eastAsia" w:ascii="Times New Roman" w:hAnsi="方正仿宋_GBK" w:eastAsia="方正仿宋_GBK"/>
                <w:szCs w:val="21"/>
              </w:rPr>
              <w:t>根据活动举办频次开展检查</w:t>
            </w:r>
            <w:r>
              <w:rPr>
                <w:rFonts w:hint="eastAsia" w:ascii="Times New Roman" w:hAnsi="方正仿宋_GBK" w:eastAsia="方正仿宋_GBK"/>
                <w:szCs w:val="21"/>
                <w:lang w:val="en-US" w:eastAsia="zh-CN"/>
              </w:rPr>
              <w:t>）</w:t>
            </w:r>
          </w:p>
        </w:tc>
        <w:tc>
          <w:tcPr>
            <w:tcW w:w="1225" w:type="dxa"/>
            <w:vAlign w:val="center"/>
          </w:tcPr>
          <w:p>
            <w:pPr>
              <w:jc w:val="left"/>
              <w:rPr>
                <w:rFonts w:hint="default" w:ascii="Times New Roman" w:hAnsi="Times New Roman" w:cs="Times New Roman"/>
                <w:b/>
                <w:kern w:val="0"/>
                <w:sz w:val="18"/>
                <w:szCs w:val="18"/>
              </w:rPr>
            </w:pPr>
            <w:r>
              <w:rPr>
                <w:rFonts w:hint="default" w:ascii="Times New Roman" w:hAnsi="Times New Roman" w:eastAsia="方正仿宋_GBK" w:cs="Times New Roman"/>
                <w:b w:val="0"/>
                <w:bCs w:val="0"/>
                <w:kern w:val="0"/>
                <w:sz w:val="21"/>
                <w:szCs w:val="21"/>
              </w:rPr>
              <w:t>320209234000</w:t>
            </w:r>
          </w:p>
        </w:tc>
        <w:tc>
          <w:tcPr>
            <w:tcW w:w="2544" w:type="dxa"/>
            <w:vAlign w:val="center"/>
          </w:tcPr>
          <w:p>
            <w:pPr>
              <w:jc w:val="left"/>
              <w:rPr>
                <w:rFonts w:hint="default" w:ascii="Times New Roman" w:hAnsi="Times New Roman" w:eastAsia="宋体"/>
                <w:b/>
                <w:kern w:val="0"/>
                <w:sz w:val="18"/>
                <w:szCs w:val="18"/>
                <w:lang w:val="en-US" w:eastAsia="zh-CN"/>
              </w:rPr>
            </w:pPr>
            <w:r>
              <w:rPr>
                <w:rFonts w:hint="eastAsia" w:ascii="方正仿宋_GBK" w:hAnsi="方正仿宋_GBK" w:eastAsia="方正仿宋_GBK" w:cs="方正仿宋_GBK"/>
                <w:b w:val="0"/>
                <w:bCs w:val="0"/>
                <w:kern w:val="0"/>
                <w:sz w:val="21"/>
                <w:szCs w:val="21"/>
                <w:shd w:val="clear" w:color="auto" w:fill="FFFFFF"/>
              </w:rPr>
              <w:t>对违反规定举办大型活动行为的处罚</w:t>
            </w:r>
          </w:p>
        </w:tc>
        <w:tc>
          <w:tcPr>
            <w:tcW w:w="483" w:type="dxa"/>
            <w:vMerge w:val="restart"/>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jc w:val="center"/>
        </w:trPr>
        <w:tc>
          <w:tcPr>
            <w:tcW w:w="510" w:type="dxa"/>
            <w:vMerge w:val="continue"/>
            <w:vAlign w:val="center"/>
          </w:tcPr>
          <w:p>
            <w:pPr>
              <w:jc w:val="left"/>
            </w:pPr>
          </w:p>
        </w:tc>
        <w:tc>
          <w:tcPr>
            <w:tcW w:w="1574" w:type="dxa"/>
            <w:vMerge w:val="continue"/>
            <w:vAlign w:val="center"/>
          </w:tcPr>
          <w:p>
            <w:pPr>
              <w:jc w:val="left"/>
            </w:pPr>
          </w:p>
        </w:tc>
        <w:tc>
          <w:tcPr>
            <w:tcW w:w="570" w:type="dxa"/>
            <w:vMerge w:val="continue"/>
            <w:vAlign w:val="center"/>
          </w:tcPr>
          <w:p>
            <w:pPr>
              <w:jc w:val="left"/>
            </w:pPr>
          </w:p>
        </w:tc>
        <w:tc>
          <w:tcPr>
            <w:tcW w:w="546" w:type="dxa"/>
            <w:vMerge w:val="continue"/>
            <w:vAlign w:val="center"/>
          </w:tcPr>
          <w:p>
            <w:pPr>
              <w:jc w:val="left"/>
            </w:pPr>
          </w:p>
        </w:tc>
        <w:tc>
          <w:tcPr>
            <w:tcW w:w="840" w:type="dxa"/>
            <w:vMerge w:val="continue"/>
            <w:vAlign w:val="center"/>
          </w:tcPr>
          <w:p>
            <w:pPr>
              <w:jc w:val="left"/>
            </w:pPr>
          </w:p>
        </w:tc>
        <w:tc>
          <w:tcPr>
            <w:tcW w:w="4785" w:type="dxa"/>
            <w:vMerge w:val="continue"/>
            <w:vAlign w:val="center"/>
          </w:tcPr>
          <w:p>
            <w:pPr>
              <w:jc w:val="left"/>
            </w:pPr>
          </w:p>
        </w:tc>
        <w:tc>
          <w:tcPr>
            <w:tcW w:w="800" w:type="dxa"/>
            <w:vMerge w:val="continue"/>
            <w:vAlign w:val="center"/>
          </w:tcPr>
          <w:p>
            <w:pPr>
              <w:jc w:val="left"/>
            </w:pPr>
          </w:p>
        </w:tc>
        <w:tc>
          <w:tcPr>
            <w:tcW w:w="1017" w:type="dxa"/>
            <w:vMerge w:val="continue"/>
            <w:vAlign w:val="center"/>
          </w:tcPr>
          <w:p>
            <w:pPr>
              <w:jc w:val="left"/>
            </w:pPr>
          </w:p>
        </w:tc>
        <w:tc>
          <w:tcPr>
            <w:tcW w:w="1225" w:type="dxa"/>
            <w:vAlign w:val="center"/>
          </w:tcPr>
          <w:p>
            <w:pPr>
              <w:jc w:val="left"/>
              <w:rPr>
                <w:rFonts w:hint="default" w:ascii="Times New Roman" w:hAnsi="Times New Roman" w:cs="Times New Roman"/>
                <w:b/>
                <w:kern w:val="0"/>
                <w:sz w:val="18"/>
                <w:szCs w:val="18"/>
              </w:rPr>
            </w:pPr>
            <w:r>
              <w:rPr>
                <w:rFonts w:hint="default" w:ascii="Times New Roman" w:hAnsi="Times New Roman" w:eastAsia="方正仿宋_GBK" w:cs="Times New Roman"/>
                <w:b w:val="0"/>
                <w:bCs w:val="0"/>
                <w:kern w:val="0"/>
                <w:sz w:val="21"/>
                <w:szCs w:val="21"/>
              </w:rPr>
              <w:t>320209740000</w:t>
            </w:r>
          </w:p>
        </w:tc>
        <w:tc>
          <w:tcPr>
            <w:tcW w:w="2544" w:type="dxa"/>
            <w:vAlign w:val="center"/>
          </w:tcPr>
          <w:p>
            <w:pPr>
              <w:jc w:val="left"/>
              <w:rPr>
                <w:rFonts w:ascii="Times New Roman" w:hAnsi="Times New Roman"/>
                <w:b/>
                <w:kern w:val="0"/>
                <w:sz w:val="18"/>
                <w:szCs w:val="18"/>
              </w:rPr>
            </w:pPr>
            <w:r>
              <w:rPr>
                <w:rFonts w:hint="eastAsia" w:ascii="方正仿宋_GBK" w:hAnsi="方正仿宋_GBK" w:eastAsia="方正仿宋_GBK" w:cs="方正仿宋_GBK"/>
                <w:b w:val="0"/>
                <w:bCs w:val="0"/>
                <w:kern w:val="0"/>
                <w:sz w:val="21"/>
                <w:szCs w:val="21"/>
                <w:shd w:val="clear" w:color="auto" w:fill="FFFFFF"/>
              </w:rPr>
              <w:t>对扰乱大型群众性活动秩序的处罚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4" w:hRule="atLeast"/>
          <w:jc w:val="center"/>
        </w:trPr>
        <w:tc>
          <w:tcPr>
            <w:tcW w:w="510" w:type="dxa"/>
            <w:vMerge w:val="continue"/>
            <w:vAlign w:val="center"/>
          </w:tcPr>
          <w:p>
            <w:pPr>
              <w:jc w:val="left"/>
            </w:pPr>
          </w:p>
        </w:tc>
        <w:tc>
          <w:tcPr>
            <w:tcW w:w="1574" w:type="dxa"/>
            <w:vMerge w:val="continue"/>
            <w:vAlign w:val="center"/>
          </w:tcPr>
          <w:p>
            <w:pPr>
              <w:jc w:val="left"/>
            </w:pPr>
          </w:p>
        </w:tc>
        <w:tc>
          <w:tcPr>
            <w:tcW w:w="570" w:type="dxa"/>
            <w:vMerge w:val="continue"/>
            <w:vAlign w:val="center"/>
          </w:tcPr>
          <w:p>
            <w:pPr>
              <w:jc w:val="left"/>
            </w:pPr>
          </w:p>
        </w:tc>
        <w:tc>
          <w:tcPr>
            <w:tcW w:w="546" w:type="dxa"/>
            <w:vMerge w:val="continue"/>
            <w:vAlign w:val="center"/>
          </w:tcPr>
          <w:p>
            <w:pPr>
              <w:jc w:val="left"/>
            </w:pPr>
          </w:p>
        </w:tc>
        <w:tc>
          <w:tcPr>
            <w:tcW w:w="840" w:type="dxa"/>
            <w:vMerge w:val="continue"/>
            <w:vAlign w:val="center"/>
          </w:tcPr>
          <w:p>
            <w:pPr>
              <w:jc w:val="left"/>
            </w:pPr>
          </w:p>
        </w:tc>
        <w:tc>
          <w:tcPr>
            <w:tcW w:w="4785" w:type="dxa"/>
            <w:vMerge w:val="continue"/>
            <w:vAlign w:val="center"/>
          </w:tcPr>
          <w:p>
            <w:pPr>
              <w:jc w:val="left"/>
            </w:pPr>
          </w:p>
        </w:tc>
        <w:tc>
          <w:tcPr>
            <w:tcW w:w="800" w:type="dxa"/>
            <w:vMerge w:val="continue"/>
            <w:vAlign w:val="center"/>
          </w:tcPr>
          <w:p>
            <w:pPr>
              <w:jc w:val="left"/>
            </w:pPr>
          </w:p>
        </w:tc>
        <w:tc>
          <w:tcPr>
            <w:tcW w:w="1017" w:type="dxa"/>
            <w:vMerge w:val="continue"/>
            <w:vAlign w:val="center"/>
          </w:tcPr>
          <w:p>
            <w:pPr>
              <w:jc w:val="left"/>
            </w:pPr>
          </w:p>
        </w:tc>
        <w:tc>
          <w:tcPr>
            <w:tcW w:w="1225" w:type="dxa"/>
            <w:vAlign w:val="center"/>
          </w:tcPr>
          <w:p>
            <w:pPr>
              <w:jc w:val="left"/>
              <w:rPr>
                <w:rFonts w:hint="default" w:ascii="Times New Roman" w:hAnsi="Times New Roman" w:cs="Times New Roman"/>
                <w:b/>
                <w:kern w:val="0"/>
                <w:sz w:val="18"/>
                <w:szCs w:val="18"/>
              </w:rPr>
            </w:pPr>
            <w:r>
              <w:rPr>
                <w:rFonts w:hint="default" w:ascii="Times New Roman" w:hAnsi="Times New Roman" w:eastAsia="方正仿宋_GBK" w:cs="Times New Roman"/>
                <w:b w:val="0"/>
                <w:bCs w:val="0"/>
                <w:i w:val="0"/>
                <w:iCs w:val="0"/>
                <w:color w:val="000000"/>
                <w:kern w:val="0"/>
                <w:sz w:val="21"/>
                <w:szCs w:val="21"/>
                <w:u w:val="none"/>
                <w:lang w:val="en-US" w:eastAsia="zh-CN" w:bidi="ar"/>
              </w:rPr>
              <w:t>320209269000</w:t>
            </w:r>
          </w:p>
        </w:tc>
        <w:tc>
          <w:tcPr>
            <w:tcW w:w="2544" w:type="dxa"/>
            <w:vAlign w:val="center"/>
          </w:tcPr>
          <w:p>
            <w:pPr>
              <w:jc w:val="left"/>
              <w:rPr>
                <w:rFonts w:ascii="Times New Roman" w:hAnsi="Times New Roman"/>
                <w:b/>
                <w:kern w:val="0"/>
                <w:sz w:val="18"/>
                <w:szCs w:val="18"/>
              </w:rPr>
            </w:pPr>
            <w:r>
              <w:rPr>
                <w:rFonts w:hint="eastAsia" w:ascii="Times New Roman" w:hAnsi="方正仿宋_GBK" w:eastAsia="方正仿宋_GBK"/>
                <w:szCs w:val="21"/>
                <w:lang w:val="en-US" w:eastAsia="zh-CN"/>
              </w:rPr>
              <w:t>对大型活动承办单位以及重点目标的管理单位未按规定进行安全检查的处罚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13</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sz w:val="21"/>
                <w:szCs w:val="21"/>
              </w:rPr>
              <w:t>对互联网服务提供者、</w:t>
            </w:r>
            <w:r>
              <w:rPr>
                <w:rFonts w:hint="eastAsia" w:ascii="方正仿宋_GBK" w:hAnsi="方正仿宋_GBK" w:eastAsia="方正仿宋_GBK" w:cs="方正仿宋_GBK"/>
                <w:b w:val="0"/>
                <w:bCs w:val="0"/>
                <w:sz w:val="21"/>
                <w:szCs w:val="21"/>
                <w:lang w:eastAsia="zh-CN"/>
              </w:rPr>
              <w:t>互</w:t>
            </w:r>
            <w:r>
              <w:rPr>
                <w:rFonts w:hint="eastAsia" w:ascii="方正仿宋_GBK" w:hAnsi="方正仿宋_GBK" w:eastAsia="方正仿宋_GBK" w:cs="方正仿宋_GBK"/>
                <w:b w:val="0"/>
                <w:bCs w:val="0"/>
                <w:sz w:val="21"/>
                <w:szCs w:val="21"/>
              </w:rPr>
              <w:t>联网使用单位履行法律、行政法规规定的网络安全义务情况的行政检查</w:t>
            </w:r>
          </w:p>
        </w:tc>
        <w:tc>
          <w:tcPr>
            <w:tcW w:w="57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苏州市公安局吴中</w:t>
            </w:r>
          </w:p>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rPr>
            </w:pPr>
            <w:bookmarkStart w:id="0" w:name="_GoBack"/>
            <w:bookmarkEnd w:id="0"/>
            <w:r>
              <w:rPr>
                <w:rFonts w:hint="eastAsia" w:ascii="方正仿宋_GBK" w:hAnsi="方正仿宋_GBK" w:eastAsia="方正仿宋_GBK" w:cs="方正仿宋_GBK"/>
                <w:b w:val="0"/>
                <w:bCs w:val="0"/>
                <w:kern w:val="0"/>
                <w:sz w:val="21"/>
                <w:szCs w:val="21"/>
                <w:lang w:val="en-US" w:eastAsia="zh-CN"/>
              </w:rPr>
              <w:t>分局</w:t>
            </w:r>
          </w:p>
        </w:tc>
        <w:tc>
          <w:tcPr>
            <w:tcW w:w="546" w:type="dxa"/>
            <w:vMerge w:val="restart"/>
            <w:vAlign w:val="center"/>
          </w:tcPr>
          <w:p>
            <w:pPr>
              <w:widowControl/>
              <w:spacing w:line="240" w:lineRule="exact"/>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sz w:val="21"/>
                <w:szCs w:val="21"/>
              </w:rPr>
              <w:t>网安部门</w:t>
            </w:r>
          </w:p>
        </w:tc>
        <w:tc>
          <w:tcPr>
            <w:tcW w:w="840" w:type="dxa"/>
            <w:vMerge w:val="restart"/>
            <w:vAlign w:val="center"/>
          </w:tcPr>
          <w:p>
            <w:pPr>
              <w:widowControl/>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sz w:val="21"/>
                <w:szCs w:val="21"/>
              </w:rPr>
              <w:t>互联网服务提供者、</w:t>
            </w:r>
            <w:r>
              <w:rPr>
                <w:rFonts w:hint="eastAsia" w:ascii="方正仿宋_GBK" w:hAnsi="方正仿宋_GBK" w:eastAsia="方正仿宋_GBK" w:cs="方正仿宋_GBK"/>
                <w:b w:val="0"/>
                <w:bCs w:val="0"/>
                <w:sz w:val="21"/>
                <w:szCs w:val="21"/>
                <w:lang w:eastAsia="zh-CN"/>
              </w:rPr>
              <w:t>互</w:t>
            </w:r>
            <w:r>
              <w:rPr>
                <w:rFonts w:hint="eastAsia" w:ascii="方正仿宋_GBK" w:hAnsi="方正仿宋_GBK" w:eastAsia="方正仿宋_GBK" w:cs="方正仿宋_GBK"/>
                <w:b w:val="0"/>
                <w:bCs w:val="0"/>
                <w:sz w:val="21"/>
                <w:szCs w:val="21"/>
              </w:rPr>
              <w:t>联网使用单位</w:t>
            </w:r>
          </w:p>
        </w:tc>
        <w:tc>
          <w:tcPr>
            <w:tcW w:w="4785" w:type="dxa"/>
            <w:vMerge w:val="restart"/>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【法律】《中华人民共和国网络安全法》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w:t>
            </w:r>
            <w:r>
              <w:rPr>
                <w:rFonts w:hint="eastAsia" w:ascii="方正仿宋_GBK" w:hAnsi="方正仿宋_GBK" w:eastAsia="方正仿宋_GBK" w:cs="方正仿宋_GBK"/>
                <w:b w:val="0"/>
                <w:bCs w:val="0"/>
                <w:kern w:val="0"/>
                <w:sz w:val="21"/>
                <w:szCs w:val="21"/>
                <w:lang w:eastAsia="zh-CN"/>
              </w:rPr>
              <w:t>九</w:t>
            </w:r>
            <w:r>
              <w:rPr>
                <w:rFonts w:hint="eastAsia" w:ascii="方正仿宋_GBK" w:hAnsi="方正仿宋_GBK" w:eastAsia="方正仿宋_GBK" w:cs="方正仿宋_GBK"/>
                <w:b w:val="0"/>
                <w:bCs w:val="0"/>
                <w:kern w:val="0"/>
                <w:sz w:val="21"/>
                <w:szCs w:val="21"/>
              </w:rPr>
              <w:t xml:space="preserve">条 </w:t>
            </w:r>
            <w:r>
              <w:rPr>
                <w:rFonts w:hint="eastAsia" w:ascii="方正仿宋_GBK" w:hAnsi="方正仿宋_GBK" w:eastAsia="方正仿宋_GBK" w:cs="方正仿宋_GBK"/>
                <w:b w:val="0"/>
                <w:bCs w:val="0"/>
                <w:kern w:val="0"/>
                <w:sz w:val="21"/>
                <w:szCs w:val="21"/>
                <w:lang w:val="en-US" w:eastAsia="zh-CN"/>
              </w:rPr>
              <w:t xml:space="preserve"> 国务院电信主管部门、公安部门和其他有关机关依照本法和有关法律、行政法规的规定，在各自职责范围内负责网络安全保护和监督管理工作。</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【法律】《中华人民共和国数据安全法》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第六条第三款</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 xml:space="preserve"> 公安机关、国家安全机关等依照本法和有关法律、行政法规的规定，在各自职责范围内承担数据安全监管职责。</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【法律】《中华人民共和国个人信息保护法》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第六十条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 xml:space="preserve"> 国务院有关部门依照本法和有关法律、行政法规的规定，在各自职责范围内负责个人信息保护和监督管理工作。第六十三条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履行个人信息保护职责的部门履行个人信息保护职责，可以采取下列措施：（三）实施现场检查，对涉嫌违法的个人信息处理活动进行调查。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【行政法规】《互联网上网服务营业场所管理条例》</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第四条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公安机关负责对互联网上网服务营业场所经营单位的信息网络安全、治安及消防安全的监督管理。</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【行政法规】《计算机信息系统安全保护条例》</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第六条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公安部主管全国计算机信息系统安全保护工作。第十七条 公安机关对计算机信息系统安全保护工作行使下列监督职权：（一）监督、检查、指导计算机信息系统安全保护工作。</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【部门规章】《计算机信息网络国际联网安全保护管理办法》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第三条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公安部计算机管理监察机构负责计算机信息网络国际联网的安全保护管理工作。第十七条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公安机关计算机管理监察机构应当督促互联单位、接入单位及有关用户建立健全安全保护管理制度。监督、检查网络安全保护管理以及技术措施的落实情况。</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【部门规章】《互联网安全保护技术措施规定》</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第五条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公安机关公共信息网络安全监察部门负责对互联网安全保护技术措施的落实情况实施监督管理。</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第十六条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公安机关应当依法对辖区内互联网服务提供者和联网使用单位安全保护技术措施的落实情况进行指导、监督和检查。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【部门规章】《公安机关互联网安全监督检查规定》</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第二条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本规定适用于公安机关依法对互联网服务提供者和联网使用单位履行法律、行政法规规定的网络安全义务情况进行的安全监督检查。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第三条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互联网安全监督检查工作由县级以上地方人民政府公安机关网络安全保卫部门组织实施。</w:t>
            </w:r>
          </w:p>
        </w:tc>
        <w:tc>
          <w:tcPr>
            <w:tcW w:w="800" w:type="dxa"/>
            <w:vMerge w:val="restart"/>
            <w:vAlign w:val="center"/>
          </w:tcPr>
          <w:p>
            <w:pPr>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现场检查</w:t>
            </w:r>
          </w:p>
        </w:tc>
        <w:tc>
          <w:tcPr>
            <w:tcW w:w="1017" w:type="dxa"/>
            <w:vMerge w:val="restart"/>
            <w:vAlign w:val="center"/>
          </w:tcPr>
          <w:p>
            <w:pPr>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kern w:val="0"/>
                <w:sz w:val="21"/>
                <w:szCs w:val="21"/>
                <w:lang w:eastAsia="zh-CN"/>
              </w:rPr>
              <w:t>全年</w:t>
            </w:r>
          </w:p>
        </w:tc>
        <w:tc>
          <w:tcPr>
            <w:tcW w:w="1225" w:type="dxa"/>
            <w:vAlign w:val="center"/>
          </w:tcPr>
          <w:p>
            <w:pPr>
              <w:widowControl/>
              <w:jc w:val="left"/>
              <w:rPr>
                <w:rFonts w:hint="default" w:ascii="Times New Roman" w:hAnsi="Times New Roman" w:eastAsia="方正仿宋_GBK" w:cs="Times New Roman"/>
                <w:b w:val="0"/>
                <w:bCs w:val="0"/>
                <w:kern w:val="0"/>
                <w:sz w:val="21"/>
                <w:szCs w:val="21"/>
              </w:rPr>
            </w:pPr>
            <w:r>
              <w:rPr>
                <w:rFonts w:hint="default" w:ascii="Times New Roman" w:hAnsi="Times New Roman" w:eastAsia="方正仿宋_GBK" w:cs="Times New Roman"/>
                <w:b w:val="0"/>
                <w:bCs w:val="0"/>
                <w:kern w:val="0"/>
                <w:sz w:val="21"/>
                <w:szCs w:val="21"/>
              </w:rPr>
              <w:t>3202GA098000</w:t>
            </w:r>
          </w:p>
        </w:tc>
        <w:tc>
          <w:tcPr>
            <w:tcW w:w="2544" w:type="dxa"/>
            <w:vAlign w:val="center"/>
          </w:tcPr>
          <w:p>
            <w:pPr>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kern w:val="0"/>
                <w:sz w:val="21"/>
                <w:szCs w:val="21"/>
              </w:rPr>
              <w:t>对网络运营者未按照规定要求用户提供真实身份信息，或者对不提供真实身份信息的用户提供相关服务的处罚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3202GA107000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对网络运营者对法律、行政法规禁止发布或者传输的信息未停止传输、采取消除等处置措施、保存有关记录的处罚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3202GA108000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对电子信息发送服务提供者、应用软件下载服务提供者不按照规定履行安全管理义务的处罚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3202GA109000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对网络运营者不按照有关部门的要求对法律、行政法规禁止发布或者传输的信息，采取停止传输、消除等处置措施的处罚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3202GA091000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对网络运营者拒绝、阻碍有关部门依法实施的监督检查的处罚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3202GA092000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对网络运营者拒不向公安机关、国家安全机关提供技术支持和协助的处罚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000709027000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互联网上网服务营业场所中信息网络安全审批</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000709024000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网络安全等级保护备案</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kern w:val="0"/>
                <w:sz w:val="21"/>
                <w:szCs w:val="21"/>
              </w:rPr>
              <w:t>000709025000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国际联网备案</w:t>
            </w:r>
          </w:p>
        </w:tc>
        <w:tc>
          <w:tcPr>
            <w:tcW w:w="483" w:type="dxa"/>
            <w:vAlign w:val="center"/>
          </w:tcPr>
          <w:p>
            <w:pPr>
              <w:rPr>
                <w:rFonts w:ascii="Times New Roman" w:hAnsi="Times New Roman"/>
                <w:b w:val="0"/>
                <w:bCs w:val="0"/>
                <w:kern w:val="0"/>
                <w:sz w:val="18"/>
                <w:szCs w:val="18"/>
              </w:rPr>
            </w:pPr>
          </w:p>
        </w:tc>
      </w:tr>
    </w:tbl>
    <w:p>
      <w:pPr>
        <w:rPr>
          <w:rFonts w:hint="default" w:ascii="Times New Roman" w:hAnsi="Times New Roman" w:eastAsia="方正仿宋_GBK" w:cs="Times New Roman"/>
          <w:sz w:val="21"/>
          <w:szCs w:val="21"/>
        </w:rPr>
      </w:pPr>
    </w:p>
    <w:sectPr>
      <w:footerReference r:id="rId3" w:type="default"/>
      <w:pgSz w:w="16830" w:h="11910" w:orient="landscape"/>
      <w:pgMar w:top="1559" w:right="2041" w:bottom="1559" w:left="1928" w:header="0" w:footer="822"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汉鼎简大宋">
    <w:altName w:val="Arial Unicode MS"/>
    <w:panose1 w:val="00000000000000000000"/>
    <w:charset w:val="00"/>
    <w:family w:val="roma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 w:name="黑体">
    <w:panose1 w:val="02010609060101010101"/>
    <w:charset w:val="86"/>
    <w:family w:val="roman"/>
    <w:pitch w:val="default"/>
    <w:sig w:usb0="800002BF" w:usb1="38CF7CFA" w:usb2="00000016" w:usb3="00000000" w:csb0="00040001" w:csb1="00000000"/>
  </w:font>
  <w:font w:name="楷体_GB2312">
    <w:panose1 w:val="02010609030101010101"/>
    <w:charset w:val="86"/>
    <w:family w:val="roman"/>
    <w:pitch w:val="default"/>
    <w:sig w:usb0="00000001" w:usb1="080E0000" w:usb2="00000000" w:usb3="00000000" w:csb0="00040000" w:csb1="00000000"/>
  </w:font>
  <w:font w:name="国标仿宋-GB/T 2312">
    <w:altName w:val="微软雅黑"/>
    <w:panose1 w:val="00000000000000000000"/>
    <w:charset w:val="86"/>
    <w:family w:val="auto"/>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汉鼎简大宋">
    <w:altName w:val="Arial Unicode MS"/>
    <w:panose1 w:val="00000000000000000000"/>
    <w:charset w:val="00"/>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汉鼎简大宋">
    <w:altName w:val="Arial Unicode MS"/>
    <w:panose1 w:val="00000000000000000000"/>
    <w:charset w:val="00"/>
    <w:family w:val="swiss"/>
    <w:pitch w:val="default"/>
    <w:sig w:usb0="00000000" w:usb1="00000000" w:usb2="00000010" w:usb3="00000000" w:csb0="00040000" w:csb1="00000000"/>
  </w:font>
  <w:font w:name="仿宋_GB2312">
    <w:panose1 w:val="02010609030101010101"/>
    <w:charset w:val="86"/>
    <w:family w:val="swiss"/>
    <w:pitch w:val="default"/>
    <w:sig w:usb0="00000001" w:usb1="080E0000" w:usb2="00000000" w:usb3="00000000" w:csb0="00040000" w:csb1="00000000"/>
  </w:font>
  <w:font w:name="黑体">
    <w:panose1 w:val="02010609060101010101"/>
    <w:charset w:val="86"/>
    <w:family w:val="swiss"/>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汉鼎简大宋">
    <w:altName w:val="Arial Unicode MS"/>
    <w:panose1 w:val="00000000000000000000"/>
    <w:charset w:val="00"/>
    <w:family w:val="decorative"/>
    <w:pitch w:val="default"/>
    <w:sig w:usb0="00000000" w:usb1="00000000" w:usb2="00000010" w:usb3="00000000" w:csb0="00040000" w:csb1="00000000"/>
  </w:font>
  <w:font w:name="仿宋_GB2312">
    <w:panose1 w:val="02010609030101010101"/>
    <w:charset w:val="86"/>
    <w:family w:val="decorative"/>
    <w:pitch w:val="default"/>
    <w:sig w:usb0="00000001" w:usb1="080E0000" w:usb2="00000000" w:usb3="00000000" w:csb0="00040000" w:csb1="00000000"/>
  </w:font>
  <w:font w:name="黑体">
    <w:panose1 w:val="02010609060101010101"/>
    <w:charset w:val="86"/>
    <w:family w:val="decorative"/>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 w:name="汉鼎简大宋">
    <w:altName w:val="宋体"/>
    <w:panose1 w:val="00000000000000000000"/>
    <w:charset w:val="86"/>
    <w:family w:val="auto"/>
    <w:pitch w:val="default"/>
    <w:sig w:usb0="00000000" w:usb1="00000000" w:usb2="0000001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jc w:val="center"/>
      <w:rPr>
        <w:rFonts w:ascii="宋体" w:hAnsi="宋体"/>
        <w:sz w:val="30"/>
        <w:szCs w:val="30"/>
      </w:rPr>
    </w:pPr>
    <w:r>
      <w:rPr>
        <w:rFonts w:ascii="宋体" w:hAnsi="宋体"/>
        <w:sz w:val="30"/>
        <w:szCs w:val="30"/>
      </w:rPr>
      <w:fldChar w:fldCharType="begin"/>
    </w:r>
    <w:r>
      <w:rPr>
        <w:rFonts w:ascii="宋体" w:hAnsi="宋体"/>
        <w:sz w:val="30"/>
        <w:szCs w:val="30"/>
      </w:rPr>
      <w:instrText xml:space="preserve"> PAGE   \* MERGEFORMAT </w:instrText>
    </w:r>
    <w:r>
      <w:rPr>
        <w:rFonts w:ascii="宋体" w:hAnsi="宋体"/>
        <w:sz w:val="30"/>
        <w:szCs w:val="30"/>
      </w:rPr>
      <w:fldChar w:fldCharType="separate"/>
    </w:r>
    <w:r>
      <w:rPr>
        <w:rFonts w:ascii="宋体" w:hAnsi="宋体"/>
        <w:sz w:val="30"/>
        <w:szCs w:val="30"/>
        <w:lang w:val="zh-CN"/>
      </w:rPr>
      <w:t>-</w:t>
    </w:r>
    <w:r>
      <w:rPr>
        <w:rFonts w:ascii="宋体" w:hAnsi="宋体"/>
        <w:sz w:val="30"/>
        <w:szCs w:val="30"/>
      </w:rPr>
      <w:t xml:space="preserve"> 6 -</w:t>
    </w:r>
    <w:r>
      <w:rPr>
        <w:rFonts w:ascii="宋体" w:hAnsi="宋体"/>
        <w:sz w:val="30"/>
        <w:szCs w:val="3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7557A5"/>
    <w:rsid w:val="057D5890"/>
    <w:rsid w:val="0A7557A5"/>
    <w:rsid w:val="1227383F"/>
    <w:rsid w:val="34EC41DF"/>
    <w:rsid w:val="367252E0"/>
    <w:rsid w:val="56C20BE3"/>
    <w:rsid w:val="599A3C0F"/>
    <w:rsid w:val="63F97611"/>
    <w:rsid w:val="676D24BC"/>
    <w:rsid w:val="68B97F6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customStyle="1" w:styleId="2">
    <w:name w:val="TOC1"/>
    <w:basedOn w:val="1"/>
    <w:next w:val="1"/>
    <w:qFormat/>
    <w:uiPriority w:val="0"/>
  </w:style>
  <w:style w:type="paragraph" w:styleId="3">
    <w:name w:val="Body Text"/>
    <w:basedOn w:val="1"/>
    <w:uiPriority w:val="0"/>
    <w:pPr>
      <w:spacing w:after="120"/>
    </w:pPr>
  </w:style>
  <w:style w:type="paragraph" w:styleId="4">
    <w:name w:val="footer"/>
    <w:basedOn w:val="1"/>
    <w:uiPriority w:val="0"/>
    <w:pPr>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2026-03-30T07:08:00Z</dcterms:created>
  <dc:creator>巩康迪</dc:creator>
  <cp:lastModifiedBy>巩康迪</cp:lastModifiedBy>
  <dcterms:modified xsi:type="dcterms:W3CDTF">2026-03-30T09:16:26Z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