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B9C43">
      <w:pPr>
        <w:jc w:val="center"/>
        <w:rPr>
          <w:rFonts w:ascii="Times New Roman" w:hAnsi="Times New Roman" w:eastAsia="仿宋_GB2312"/>
          <w:sz w:val="32"/>
          <w:szCs w:val="32"/>
        </w:rPr>
      </w:pPr>
      <w:r>
        <w:rPr>
          <w:rFonts w:hint="eastAsia" w:ascii="Times New Roman" w:hAnsi="Times New Roman" w:eastAsia="方正小标宋简体"/>
          <w:sz w:val="44"/>
          <w:szCs w:val="44"/>
        </w:rPr>
        <w:t>吴中区住建</w:t>
      </w:r>
      <w:r>
        <w:rPr>
          <w:rFonts w:ascii="Times New Roman" w:hAnsi="Times New Roman" w:eastAsia="方正小标宋简体"/>
          <w:sz w:val="44"/>
          <w:szCs w:val="44"/>
        </w:rPr>
        <w:t>局行政检查事项清单</w:t>
      </w:r>
    </w:p>
    <w:tbl>
      <w:tblPr>
        <w:tblStyle w:val="5"/>
        <w:tblW w:w="150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1324"/>
        <w:gridCol w:w="794"/>
        <w:gridCol w:w="872"/>
        <w:gridCol w:w="1010"/>
        <w:gridCol w:w="4922"/>
        <w:gridCol w:w="926"/>
        <w:gridCol w:w="1104"/>
        <w:gridCol w:w="1296"/>
        <w:gridCol w:w="1282"/>
        <w:gridCol w:w="1016"/>
      </w:tblGrid>
      <w:tr w14:paraId="12D35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536" w:type="dxa"/>
            <w:vMerge w:val="restart"/>
            <w:tcBorders>
              <w:tl2br w:val="nil"/>
              <w:tr2bl w:val="nil"/>
            </w:tcBorders>
            <w:vAlign w:val="center"/>
          </w:tcPr>
          <w:p w14:paraId="3882BB14">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0"/>
                <w:sz w:val="21"/>
                <w:szCs w:val="21"/>
                <w14:textFill>
                  <w14:solidFill>
                    <w14:schemeClr w14:val="tx1"/>
                  </w14:solidFill>
                </w14:textFill>
              </w:rPr>
              <w:t>序号</w:t>
            </w:r>
          </w:p>
        </w:tc>
        <w:tc>
          <w:tcPr>
            <w:tcW w:w="1324" w:type="dxa"/>
            <w:vMerge w:val="restart"/>
            <w:tcBorders>
              <w:tl2br w:val="nil"/>
              <w:tr2bl w:val="nil"/>
            </w:tcBorders>
            <w:vAlign w:val="center"/>
          </w:tcPr>
          <w:p w14:paraId="47FEAC73">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0"/>
                <w:sz w:val="21"/>
                <w:szCs w:val="21"/>
                <w14:textFill>
                  <w14:solidFill>
                    <w14:schemeClr w14:val="tx1"/>
                  </w14:solidFill>
                </w14:textFill>
              </w:rPr>
              <w:t>检查事项</w:t>
            </w:r>
          </w:p>
        </w:tc>
        <w:tc>
          <w:tcPr>
            <w:tcW w:w="794" w:type="dxa"/>
            <w:vMerge w:val="restart"/>
            <w:tcBorders>
              <w:tl2br w:val="nil"/>
              <w:tr2bl w:val="nil"/>
            </w:tcBorders>
            <w:vAlign w:val="center"/>
          </w:tcPr>
          <w:p w14:paraId="67B56B82">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0"/>
                <w:sz w:val="21"/>
                <w:szCs w:val="21"/>
                <w14:textFill>
                  <w14:solidFill>
                    <w14:schemeClr w14:val="tx1"/>
                  </w14:solidFill>
                </w14:textFill>
              </w:rPr>
              <w:t>检查主体</w:t>
            </w:r>
          </w:p>
        </w:tc>
        <w:tc>
          <w:tcPr>
            <w:tcW w:w="872" w:type="dxa"/>
            <w:vMerge w:val="restart"/>
            <w:tcBorders>
              <w:tl2br w:val="nil"/>
              <w:tr2bl w:val="nil"/>
            </w:tcBorders>
            <w:vAlign w:val="center"/>
          </w:tcPr>
          <w:p w14:paraId="7BCA6A2F">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0"/>
                <w:sz w:val="21"/>
                <w:szCs w:val="21"/>
                <w14:textFill>
                  <w14:solidFill>
                    <w14:schemeClr w14:val="tx1"/>
                  </w14:solidFill>
                </w14:textFill>
              </w:rPr>
              <w:t>检查机构</w:t>
            </w:r>
          </w:p>
        </w:tc>
        <w:tc>
          <w:tcPr>
            <w:tcW w:w="1010" w:type="dxa"/>
            <w:vMerge w:val="restart"/>
            <w:tcBorders>
              <w:tl2br w:val="nil"/>
              <w:tr2bl w:val="nil"/>
            </w:tcBorders>
            <w:vAlign w:val="center"/>
          </w:tcPr>
          <w:p w14:paraId="669E1731">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0"/>
                <w:sz w:val="21"/>
                <w:szCs w:val="21"/>
                <w14:textFill>
                  <w14:solidFill>
                    <w14:schemeClr w14:val="tx1"/>
                  </w14:solidFill>
                </w14:textFill>
              </w:rPr>
              <w:t>检查对象</w:t>
            </w:r>
          </w:p>
        </w:tc>
        <w:tc>
          <w:tcPr>
            <w:tcW w:w="4922" w:type="dxa"/>
            <w:vMerge w:val="restart"/>
            <w:tcBorders>
              <w:tl2br w:val="nil"/>
              <w:tr2bl w:val="nil"/>
            </w:tcBorders>
            <w:vAlign w:val="center"/>
          </w:tcPr>
          <w:p w14:paraId="0AA14F2F">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0"/>
                <w:sz w:val="21"/>
                <w:szCs w:val="21"/>
                <w14:textFill>
                  <w14:solidFill>
                    <w14:schemeClr w14:val="tx1"/>
                  </w14:solidFill>
                </w14:textFill>
              </w:rPr>
              <w:t>检查依据</w:t>
            </w:r>
          </w:p>
        </w:tc>
        <w:tc>
          <w:tcPr>
            <w:tcW w:w="926" w:type="dxa"/>
            <w:vMerge w:val="restart"/>
            <w:tcBorders>
              <w:tl2br w:val="nil"/>
              <w:tr2bl w:val="nil"/>
            </w:tcBorders>
            <w:vAlign w:val="center"/>
          </w:tcPr>
          <w:p w14:paraId="72E75BBE">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0"/>
                <w:sz w:val="21"/>
                <w:szCs w:val="21"/>
                <w14:textFill>
                  <w14:solidFill>
                    <w14:schemeClr w14:val="tx1"/>
                  </w14:solidFill>
                </w14:textFill>
              </w:rPr>
              <w:t>检查方式</w:t>
            </w:r>
          </w:p>
        </w:tc>
        <w:tc>
          <w:tcPr>
            <w:tcW w:w="1104" w:type="dxa"/>
            <w:vMerge w:val="restart"/>
            <w:tcBorders>
              <w:tl2br w:val="nil"/>
              <w:tr2bl w:val="nil"/>
            </w:tcBorders>
            <w:vAlign w:val="center"/>
          </w:tcPr>
          <w:p w14:paraId="26919C14">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0"/>
                <w:sz w:val="21"/>
                <w:szCs w:val="21"/>
                <w14:textFill>
                  <w14:solidFill>
                    <w14:schemeClr w14:val="tx1"/>
                  </w14:solidFill>
                </w14:textFill>
              </w:rPr>
              <w:t>检查频次（时间）</w:t>
            </w:r>
          </w:p>
        </w:tc>
        <w:tc>
          <w:tcPr>
            <w:tcW w:w="2578" w:type="dxa"/>
            <w:gridSpan w:val="2"/>
            <w:tcBorders>
              <w:tl2br w:val="nil"/>
              <w:tr2bl w:val="nil"/>
            </w:tcBorders>
            <w:vAlign w:val="center"/>
          </w:tcPr>
          <w:p w14:paraId="3D7056F7">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0"/>
                <w:sz w:val="21"/>
                <w:szCs w:val="21"/>
                <w14:textFill>
                  <w14:solidFill>
                    <w14:schemeClr w14:val="tx1"/>
                  </w14:solidFill>
                </w14:textFill>
              </w:rPr>
              <w:t>对应的行政权力事项</w:t>
            </w:r>
          </w:p>
        </w:tc>
        <w:tc>
          <w:tcPr>
            <w:tcW w:w="1016" w:type="dxa"/>
            <w:vMerge w:val="restart"/>
            <w:tcBorders>
              <w:tl2br w:val="nil"/>
              <w:tr2bl w:val="nil"/>
            </w:tcBorders>
            <w:vAlign w:val="center"/>
          </w:tcPr>
          <w:p w14:paraId="6F9EDE60">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0"/>
                <w:sz w:val="21"/>
                <w:szCs w:val="21"/>
                <w14:textFill>
                  <w14:solidFill>
                    <w14:schemeClr w14:val="tx1"/>
                  </w14:solidFill>
                </w14:textFill>
              </w:rPr>
              <w:t>备注</w:t>
            </w:r>
          </w:p>
        </w:tc>
      </w:tr>
      <w:tr w14:paraId="63115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trPr>
        <w:tc>
          <w:tcPr>
            <w:tcW w:w="536" w:type="dxa"/>
            <w:vMerge w:val="continue"/>
            <w:tcBorders>
              <w:tl2br w:val="nil"/>
              <w:tr2bl w:val="nil"/>
            </w:tcBorders>
            <w:vAlign w:val="center"/>
          </w:tcPr>
          <w:p w14:paraId="388A747A">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46AFD2C4">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DCB94C1">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15831DC">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5F5786C7">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p>
        </w:tc>
        <w:tc>
          <w:tcPr>
            <w:tcW w:w="4922" w:type="dxa"/>
            <w:vMerge w:val="continue"/>
            <w:tcBorders>
              <w:tl2br w:val="nil"/>
              <w:tr2bl w:val="nil"/>
            </w:tcBorders>
            <w:vAlign w:val="center"/>
          </w:tcPr>
          <w:p w14:paraId="7F98D97A">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p>
        </w:tc>
        <w:tc>
          <w:tcPr>
            <w:tcW w:w="926" w:type="dxa"/>
            <w:vMerge w:val="continue"/>
            <w:tcBorders>
              <w:tl2br w:val="nil"/>
              <w:tr2bl w:val="nil"/>
            </w:tcBorders>
            <w:vAlign w:val="center"/>
          </w:tcPr>
          <w:p w14:paraId="512FE592">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A28E1E3">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0CC7CB0F">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0"/>
                <w:sz w:val="21"/>
                <w:szCs w:val="21"/>
                <w14:textFill>
                  <w14:solidFill>
                    <w14:schemeClr w14:val="tx1"/>
                  </w14:solidFill>
                </w14:textFill>
              </w:rPr>
              <w:t>权力编码</w:t>
            </w:r>
          </w:p>
        </w:tc>
        <w:tc>
          <w:tcPr>
            <w:tcW w:w="1282" w:type="dxa"/>
            <w:tcBorders>
              <w:tl2br w:val="nil"/>
              <w:tr2bl w:val="nil"/>
            </w:tcBorders>
            <w:vAlign w:val="center"/>
          </w:tcPr>
          <w:p w14:paraId="5AFCB23B">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0"/>
                <w:sz w:val="21"/>
                <w:szCs w:val="21"/>
                <w14:textFill>
                  <w14:solidFill>
                    <w14:schemeClr w14:val="tx1"/>
                  </w14:solidFill>
                </w14:textFill>
              </w:rPr>
              <w:t>权力名称</w:t>
            </w:r>
          </w:p>
        </w:tc>
        <w:tc>
          <w:tcPr>
            <w:tcW w:w="1016" w:type="dxa"/>
            <w:vMerge w:val="continue"/>
            <w:tcBorders>
              <w:tl2br w:val="nil"/>
              <w:tr2bl w:val="nil"/>
            </w:tcBorders>
            <w:vAlign w:val="center"/>
          </w:tcPr>
          <w:p w14:paraId="1647126C">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p>
        </w:tc>
      </w:tr>
      <w:tr w14:paraId="617DF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2" w:hRule="atLeast"/>
        </w:trPr>
        <w:tc>
          <w:tcPr>
            <w:tcW w:w="536" w:type="dxa"/>
            <w:vMerge w:val="restart"/>
            <w:tcBorders>
              <w:tl2br w:val="nil"/>
              <w:tr2bl w:val="nil"/>
            </w:tcBorders>
            <w:vAlign w:val="center"/>
          </w:tcPr>
          <w:p w14:paraId="3A0E998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1</w:t>
            </w:r>
          </w:p>
        </w:tc>
        <w:tc>
          <w:tcPr>
            <w:tcW w:w="1324" w:type="dxa"/>
            <w:vMerge w:val="restart"/>
            <w:tcBorders>
              <w:tl2br w:val="nil"/>
              <w:tr2bl w:val="nil"/>
            </w:tcBorders>
            <w:vAlign w:val="center"/>
          </w:tcPr>
          <w:p w14:paraId="4F3BC4FB">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对取得施工许可证的建设工程施工情况的行政检查</w:t>
            </w:r>
          </w:p>
        </w:tc>
        <w:tc>
          <w:tcPr>
            <w:tcW w:w="794" w:type="dxa"/>
            <w:vMerge w:val="restart"/>
            <w:tcBorders>
              <w:tl2br w:val="nil"/>
              <w:tr2bl w:val="nil"/>
            </w:tcBorders>
            <w:vAlign w:val="center"/>
          </w:tcPr>
          <w:p w14:paraId="14B32D79">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苏州市吴中区住建局</w:t>
            </w:r>
          </w:p>
        </w:tc>
        <w:tc>
          <w:tcPr>
            <w:tcW w:w="872" w:type="dxa"/>
            <w:vMerge w:val="restart"/>
            <w:tcBorders>
              <w:tl2br w:val="nil"/>
              <w:tr2bl w:val="nil"/>
            </w:tcBorders>
            <w:vAlign w:val="center"/>
          </w:tcPr>
          <w:p w14:paraId="70433FB2">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安监站</w:t>
            </w:r>
          </w:p>
        </w:tc>
        <w:tc>
          <w:tcPr>
            <w:tcW w:w="1010" w:type="dxa"/>
            <w:vMerge w:val="restart"/>
            <w:tcBorders>
              <w:tl2br w:val="nil"/>
              <w:tr2bl w:val="nil"/>
            </w:tcBorders>
            <w:vAlign w:val="center"/>
          </w:tcPr>
          <w:p w14:paraId="50FAF7A3">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在监项目工地</w:t>
            </w:r>
          </w:p>
        </w:tc>
        <w:tc>
          <w:tcPr>
            <w:tcW w:w="4922" w:type="dxa"/>
            <w:tcBorders>
              <w:tl2br w:val="nil"/>
              <w:tr2bl w:val="nil"/>
            </w:tcBorders>
            <w:shd w:val="clear" w:color="auto" w:fill="auto"/>
            <w:vAlign w:val="center"/>
          </w:tcPr>
          <w:p w14:paraId="399BCFD6">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第十条第二款　依法批准开工报告的建设工程，建设单位应当自开工报告批准之日起15日内，将保证安全施工的措施报送建设工程所在地的县级以上地方人民政府建设行政主管部门或者其他有关部门备案。</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第五十四条第二款　建设单位未将保证安全施工的措施或者拆除工程的有关资料报送有关部门备案的，责令限期改正，给予警告。</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第六十八条　本条例规定的行政处罚，由建设行政主管部门或者其他有关部门依照法定职权决定。</w:t>
            </w:r>
          </w:p>
        </w:tc>
        <w:tc>
          <w:tcPr>
            <w:tcW w:w="926" w:type="dxa"/>
            <w:vMerge w:val="restart"/>
            <w:tcBorders>
              <w:tl2br w:val="nil"/>
              <w:tr2bl w:val="nil"/>
            </w:tcBorders>
            <w:vAlign w:val="center"/>
          </w:tcPr>
          <w:p w14:paraId="65513A0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现场检查</w:t>
            </w:r>
          </w:p>
        </w:tc>
        <w:tc>
          <w:tcPr>
            <w:tcW w:w="1104" w:type="dxa"/>
            <w:vMerge w:val="restart"/>
            <w:tcBorders>
              <w:tl2br w:val="nil"/>
              <w:tr2bl w:val="nil"/>
            </w:tcBorders>
            <w:shd w:val="clear" w:color="auto" w:fill="auto"/>
            <w:vAlign w:val="center"/>
          </w:tcPr>
          <w:p w14:paraId="7C760E4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 xml:space="preserve">根据各监管项目安全监督工作计划执行 </w:t>
            </w:r>
          </w:p>
        </w:tc>
        <w:tc>
          <w:tcPr>
            <w:tcW w:w="1296" w:type="dxa"/>
            <w:tcBorders>
              <w:tl2br w:val="nil"/>
              <w:tr2bl w:val="nil"/>
            </w:tcBorders>
            <w:shd w:val="clear" w:color="auto" w:fill="auto"/>
            <w:vAlign w:val="center"/>
          </w:tcPr>
          <w:p w14:paraId="79E30A3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0200074000</w:t>
            </w:r>
          </w:p>
        </w:tc>
        <w:tc>
          <w:tcPr>
            <w:tcW w:w="1282" w:type="dxa"/>
            <w:tcBorders>
              <w:tl2br w:val="nil"/>
              <w:tr2bl w:val="nil"/>
            </w:tcBorders>
            <w:shd w:val="clear" w:color="auto" w:fill="auto"/>
            <w:vAlign w:val="center"/>
          </w:tcPr>
          <w:p w14:paraId="645AEF1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对建设单位未将保证安全施工措施或者拆除工程的有关资料报送有关部门备案的处罚</w:t>
            </w:r>
          </w:p>
        </w:tc>
        <w:tc>
          <w:tcPr>
            <w:tcW w:w="1016" w:type="dxa"/>
            <w:tcBorders>
              <w:tl2br w:val="nil"/>
              <w:tr2bl w:val="nil"/>
            </w:tcBorders>
            <w:vAlign w:val="center"/>
          </w:tcPr>
          <w:p w14:paraId="04E1EBD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C63A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36" w:type="dxa"/>
            <w:vMerge w:val="continue"/>
            <w:tcBorders>
              <w:tl2br w:val="nil"/>
              <w:tr2bl w:val="nil"/>
            </w:tcBorders>
            <w:vAlign w:val="center"/>
          </w:tcPr>
          <w:p w14:paraId="5828D3A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0E5AEE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753F298">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9FC8C2D">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2A2D5EA0">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3AC0C171">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第七条　建设单位不得对勘察、设计、施工、工程监理等单位提出不符合建设工程安全生产法律、法规和强制性标准规定的要求，不得压缩合同约定的工期。</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第五十五条　违反本条例的规定，建设单位有下列行为之一的，责令限期改正，处20万元以上50万元以下的罚款；造成重大安全事故，构成犯罪的，对直接责任人员，依照刑法有关规定追究刑事责任；造成损失的，依法承担赔偿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（一）对勘察、设计、施工、工程监理等单位提出不符合安全生产法律、法规和强制性标准规定的要求的；</w:t>
            </w:r>
          </w:p>
        </w:tc>
        <w:tc>
          <w:tcPr>
            <w:tcW w:w="926" w:type="dxa"/>
            <w:vMerge w:val="continue"/>
            <w:tcBorders>
              <w:tl2br w:val="nil"/>
              <w:tr2bl w:val="nil"/>
            </w:tcBorders>
            <w:vAlign w:val="center"/>
          </w:tcPr>
          <w:p w14:paraId="022A349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5B5B5FA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60839BC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0200075000</w:t>
            </w:r>
          </w:p>
        </w:tc>
        <w:tc>
          <w:tcPr>
            <w:tcW w:w="1282" w:type="dxa"/>
            <w:tcBorders>
              <w:tl2br w:val="nil"/>
              <w:tr2bl w:val="nil"/>
            </w:tcBorders>
            <w:shd w:val="clear" w:color="auto" w:fill="auto"/>
            <w:vAlign w:val="center"/>
          </w:tcPr>
          <w:p w14:paraId="20F70ED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对建设单位对勘察、设计、施工、工程监理等单位提出不符合安全生产法律、法规和强制性标准规定的要求的处罚</w:t>
            </w:r>
          </w:p>
        </w:tc>
        <w:tc>
          <w:tcPr>
            <w:tcW w:w="1016" w:type="dxa"/>
            <w:tcBorders>
              <w:tl2br w:val="nil"/>
              <w:tr2bl w:val="nil"/>
            </w:tcBorders>
            <w:vAlign w:val="center"/>
          </w:tcPr>
          <w:p w14:paraId="3F10EB2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B05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536" w:type="dxa"/>
            <w:vMerge w:val="continue"/>
            <w:tcBorders>
              <w:tl2br w:val="nil"/>
              <w:tr2bl w:val="nil"/>
            </w:tcBorders>
            <w:vAlign w:val="center"/>
          </w:tcPr>
          <w:p w14:paraId="5D6A8E1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8CAA252">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E63E4DC">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AEFA917">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9866DA4">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646794C2">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第十一条第一款　建设单位应当将拆除工程发包给具有相应资质等级的施工单位。</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第五十五条　违反本条例的规定，建设单位有下列行为之一的，责令限期改正，处20万元以上50万元以下的罚款；造成重大安全事故，构成犯罪的，对直接责任人员，依照刑法有关规定追究刑事责任；造成损失的，依法承担赔偿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（三）将拆除工程发包给不具有相应资质等级的施工单位的。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第六十八条　本条例规定的行政处罚，由建设行政主管部门或者其他有关部门依照法定职权决定。</w:t>
            </w:r>
          </w:p>
        </w:tc>
        <w:tc>
          <w:tcPr>
            <w:tcW w:w="926" w:type="dxa"/>
            <w:vMerge w:val="continue"/>
            <w:tcBorders>
              <w:tl2br w:val="nil"/>
              <w:tr2bl w:val="nil"/>
            </w:tcBorders>
            <w:vAlign w:val="center"/>
          </w:tcPr>
          <w:p w14:paraId="0C7FF2C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14CB341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2CC811F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0200076000</w:t>
            </w:r>
          </w:p>
        </w:tc>
        <w:tc>
          <w:tcPr>
            <w:tcW w:w="1282" w:type="dxa"/>
            <w:tcBorders>
              <w:tl2br w:val="nil"/>
              <w:tr2bl w:val="nil"/>
            </w:tcBorders>
            <w:shd w:val="clear" w:color="auto" w:fill="auto"/>
            <w:vAlign w:val="center"/>
          </w:tcPr>
          <w:p w14:paraId="2A13F89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对建设单位将拆除工程发包给不具有相应资质等级的施工单位的处罚</w:t>
            </w:r>
          </w:p>
        </w:tc>
        <w:tc>
          <w:tcPr>
            <w:tcW w:w="1016" w:type="dxa"/>
            <w:tcBorders>
              <w:tl2br w:val="nil"/>
              <w:tr2bl w:val="nil"/>
            </w:tcBorders>
            <w:vAlign w:val="center"/>
          </w:tcPr>
          <w:p w14:paraId="5AD534D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AAAF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536" w:type="dxa"/>
            <w:vMerge w:val="continue"/>
            <w:tcBorders>
              <w:tl2br w:val="nil"/>
              <w:tr2bl w:val="nil"/>
            </w:tcBorders>
            <w:vAlign w:val="center"/>
          </w:tcPr>
          <w:p w14:paraId="4900399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CD25E94">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DE1D1F8">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B8FC700">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74534A4">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7E19DDF6">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第十三条第三款　采用新结构、新材料、新工艺的建设工程和特殊结构的建设工程，设计单位应当在设计中提出保障施工作业人员安全和预防生产安全事故的措施建议。</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第五十六条　违反本条例的规定，勘察单位、设计单位有下列行为之一的，责令限期改正，处10万元以上30万元以下的罚款；情节严重的，责令停业整顿，降低资质等级，直至吊销资质证书；造成重大安全事故，构成犯罪的，对直接责任人员，依照刑法有关规定追究刑事责任；造成损失的，依法承担赔偿责任。</w:t>
            </w:r>
          </w:p>
        </w:tc>
        <w:tc>
          <w:tcPr>
            <w:tcW w:w="926" w:type="dxa"/>
            <w:vMerge w:val="continue"/>
            <w:tcBorders>
              <w:tl2br w:val="nil"/>
              <w:tr2bl w:val="nil"/>
            </w:tcBorders>
            <w:vAlign w:val="center"/>
          </w:tcPr>
          <w:p w14:paraId="44A4B9F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60C9A7D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7DF43A3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0200078000</w:t>
            </w:r>
          </w:p>
        </w:tc>
        <w:tc>
          <w:tcPr>
            <w:tcW w:w="1282" w:type="dxa"/>
            <w:tcBorders>
              <w:tl2br w:val="nil"/>
              <w:tr2bl w:val="nil"/>
            </w:tcBorders>
            <w:shd w:val="clear" w:color="auto" w:fill="auto"/>
            <w:vAlign w:val="center"/>
          </w:tcPr>
          <w:p w14:paraId="5E31B5A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对采用新结构、新材料、新工艺的建设工程和特殊结构的建设工程，设计单位未在设计中提出保障施工作业人员安全和预防生产安全事故的措施建议的处罚</w:t>
            </w:r>
          </w:p>
        </w:tc>
        <w:tc>
          <w:tcPr>
            <w:tcW w:w="1016" w:type="dxa"/>
            <w:tcBorders>
              <w:tl2br w:val="nil"/>
              <w:tr2bl w:val="nil"/>
            </w:tcBorders>
            <w:vAlign w:val="center"/>
          </w:tcPr>
          <w:p w14:paraId="70BDE18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1142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EA230A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2AEC148">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2A4E49D">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4A943A6">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53E3E698">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2C7A5903">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第十四条第一款　工程监理单位应当审查施工组织设计中的安全技术措施或者专项施工方案是否符合工程建设强制性标准。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第五十七条　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（一）未对施工组织设计中的安全技术措施或者专项施工方案进行审查的；</w:t>
            </w:r>
          </w:p>
        </w:tc>
        <w:tc>
          <w:tcPr>
            <w:tcW w:w="926" w:type="dxa"/>
            <w:vMerge w:val="continue"/>
            <w:tcBorders>
              <w:tl2br w:val="nil"/>
              <w:tr2bl w:val="nil"/>
            </w:tcBorders>
            <w:shd w:val="clear" w:color="auto" w:fill="auto"/>
            <w:vAlign w:val="center"/>
          </w:tcPr>
          <w:p w14:paraId="0BEF9BA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4DDDB1A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469CF88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0200079000</w:t>
            </w:r>
          </w:p>
        </w:tc>
        <w:tc>
          <w:tcPr>
            <w:tcW w:w="1282" w:type="dxa"/>
            <w:tcBorders>
              <w:tl2br w:val="nil"/>
              <w:tr2bl w:val="nil"/>
            </w:tcBorders>
            <w:shd w:val="clear" w:color="auto" w:fill="auto"/>
            <w:vAlign w:val="center"/>
          </w:tcPr>
          <w:p w14:paraId="64F662D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对工程监理单位未对施工组织设计中的安全技术措施或者专项施工方案进行审查的处罚</w:t>
            </w:r>
          </w:p>
        </w:tc>
        <w:tc>
          <w:tcPr>
            <w:tcW w:w="1016" w:type="dxa"/>
            <w:tcBorders>
              <w:tl2br w:val="nil"/>
              <w:tr2bl w:val="nil"/>
            </w:tcBorders>
            <w:vAlign w:val="center"/>
          </w:tcPr>
          <w:p w14:paraId="7C3E360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36B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80C467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1694FBA8">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F2CC12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A9970A4">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B18AC2C">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240058A">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第十四条第二款　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第五十七条　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tc>
        <w:tc>
          <w:tcPr>
            <w:tcW w:w="926" w:type="dxa"/>
            <w:vMerge w:val="continue"/>
            <w:tcBorders>
              <w:tl2br w:val="nil"/>
              <w:tr2bl w:val="nil"/>
            </w:tcBorders>
            <w:shd w:val="clear" w:color="auto" w:fill="auto"/>
            <w:vAlign w:val="center"/>
          </w:tcPr>
          <w:p w14:paraId="276246D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3D42C0C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4462010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0200080000</w:t>
            </w:r>
          </w:p>
        </w:tc>
        <w:tc>
          <w:tcPr>
            <w:tcW w:w="1282" w:type="dxa"/>
            <w:tcBorders>
              <w:tl2br w:val="nil"/>
              <w:tr2bl w:val="nil"/>
            </w:tcBorders>
            <w:shd w:val="clear" w:color="auto" w:fill="auto"/>
            <w:vAlign w:val="center"/>
          </w:tcPr>
          <w:p w14:paraId="1D0709C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对工程监理单位发现安全事故隐患未及时要求施工单位整改或者暂时停止施工的处罚</w:t>
            </w:r>
          </w:p>
        </w:tc>
        <w:tc>
          <w:tcPr>
            <w:tcW w:w="1016" w:type="dxa"/>
            <w:tcBorders>
              <w:tl2br w:val="nil"/>
              <w:tr2bl w:val="nil"/>
            </w:tcBorders>
            <w:vAlign w:val="center"/>
          </w:tcPr>
          <w:p w14:paraId="673AA00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2E0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286375C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1B8BFD6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B97000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47443FA7">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2ABBB874">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37409B8">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第十四条第二款　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第五十七条　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tc>
        <w:tc>
          <w:tcPr>
            <w:tcW w:w="926" w:type="dxa"/>
            <w:vMerge w:val="continue"/>
            <w:tcBorders>
              <w:tl2br w:val="nil"/>
              <w:tr2bl w:val="nil"/>
            </w:tcBorders>
            <w:shd w:val="clear" w:color="auto" w:fill="auto"/>
            <w:vAlign w:val="center"/>
          </w:tcPr>
          <w:p w14:paraId="2EC3A9A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70BC2E9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5FFC942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0200081000</w:t>
            </w:r>
          </w:p>
        </w:tc>
        <w:tc>
          <w:tcPr>
            <w:tcW w:w="1282" w:type="dxa"/>
            <w:tcBorders>
              <w:tl2br w:val="nil"/>
              <w:tr2bl w:val="nil"/>
            </w:tcBorders>
            <w:shd w:val="clear" w:color="auto" w:fill="auto"/>
            <w:vAlign w:val="center"/>
          </w:tcPr>
          <w:p w14:paraId="21CA794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对工程监理单位发现施工单位拒不整改或者不停止施工，未及时向有关主管部门报告的处罚</w:t>
            </w:r>
          </w:p>
        </w:tc>
        <w:tc>
          <w:tcPr>
            <w:tcW w:w="1016" w:type="dxa"/>
            <w:tcBorders>
              <w:tl2br w:val="nil"/>
              <w:tr2bl w:val="nil"/>
            </w:tcBorders>
            <w:vAlign w:val="center"/>
          </w:tcPr>
          <w:p w14:paraId="21FF73C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8F7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75373AF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F7EC087">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BA5BC64">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2416A56">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0AED2CD">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002F80F">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第十四条第三款　工程监理单位和监理工程师应当按照法律、法规和工程建设强制性标准实施监理，并对建设工程安全生产承担监理责任。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第五十七条　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（四）未依照法律、法规和工程建设强制性标准实施监理的。</w:t>
            </w:r>
          </w:p>
        </w:tc>
        <w:tc>
          <w:tcPr>
            <w:tcW w:w="926" w:type="dxa"/>
            <w:vMerge w:val="continue"/>
            <w:tcBorders>
              <w:tl2br w:val="nil"/>
              <w:tr2bl w:val="nil"/>
            </w:tcBorders>
            <w:shd w:val="clear" w:color="auto" w:fill="auto"/>
            <w:vAlign w:val="center"/>
          </w:tcPr>
          <w:p w14:paraId="41A1F4E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00BF672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74F4E72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0200082000</w:t>
            </w:r>
          </w:p>
        </w:tc>
        <w:tc>
          <w:tcPr>
            <w:tcW w:w="1282" w:type="dxa"/>
            <w:tcBorders>
              <w:tl2br w:val="nil"/>
              <w:tr2bl w:val="nil"/>
            </w:tcBorders>
            <w:shd w:val="clear" w:color="auto" w:fill="auto"/>
            <w:vAlign w:val="center"/>
          </w:tcPr>
          <w:p w14:paraId="6FEFDB4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对工程监理单位未依照法律、法规和工程建设强制性标准实施监理的处罚</w:t>
            </w:r>
          </w:p>
        </w:tc>
        <w:tc>
          <w:tcPr>
            <w:tcW w:w="1016" w:type="dxa"/>
            <w:tcBorders>
              <w:tl2br w:val="nil"/>
              <w:tr2bl w:val="nil"/>
            </w:tcBorders>
            <w:vAlign w:val="center"/>
          </w:tcPr>
          <w:p w14:paraId="07DCB4E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B3A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44ECB00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72E28CD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49E62D0">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3A71E33">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C85E622">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7917492">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第十五条　为建设工程提供机械设备和配件的单位，应当按照安全施工的要求配备齐全有效的保险、限位等安全设施和装置。</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第五十九条　违反本条例的规定，为建设工程提供机械设备和配件的单位，未按照安全施工的要求配备齐全有效的保险、限位等安全设施和装置的，责令限期改正，处合同价款1倍以上3倍以下的罚款；造成损失的，依法承担赔偿责任。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第六十八条　本条例规定的行政处罚，由建设行政主管部门或者其他有关部门依照法定职权决定。</w:t>
            </w:r>
          </w:p>
        </w:tc>
        <w:tc>
          <w:tcPr>
            <w:tcW w:w="926" w:type="dxa"/>
            <w:vMerge w:val="continue"/>
            <w:tcBorders>
              <w:tl2br w:val="nil"/>
              <w:tr2bl w:val="nil"/>
            </w:tcBorders>
            <w:shd w:val="clear" w:color="auto" w:fill="auto"/>
            <w:vAlign w:val="center"/>
          </w:tcPr>
          <w:p w14:paraId="7F793B6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67D84CD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37B5345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0200084000</w:t>
            </w:r>
          </w:p>
        </w:tc>
        <w:tc>
          <w:tcPr>
            <w:tcW w:w="1282" w:type="dxa"/>
            <w:tcBorders>
              <w:tl2br w:val="nil"/>
              <w:tr2bl w:val="nil"/>
            </w:tcBorders>
            <w:shd w:val="clear" w:color="auto" w:fill="auto"/>
            <w:vAlign w:val="center"/>
          </w:tcPr>
          <w:p w14:paraId="1937408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对为建设工程提供机械设备和配件的单位未按照安全施工的要求配备齐全有效的保险、限位等安全设施和装置的处罚</w:t>
            </w:r>
          </w:p>
        </w:tc>
        <w:tc>
          <w:tcPr>
            <w:tcW w:w="1016" w:type="dxa"/>
            <w:tcBorders>
              <w:tl2br w:val="nil"/>
              <w:tr2bl w:val="nil"/>
            </w:tcBorders>
            <w:vAlign w:val="center"/>
          </w:tcPr>
          <w:p w14:paraId="33178CA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D9F3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AFDC8E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7A6D9759">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E0F02F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CF4D8BD">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BC3E9BF">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529655D">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第十六条第二款  出租单位应当对出租的机械设备和施工机具及配件的安全性能进行检测，在签订租赁协议时，应当出具检测合格证明。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第三款  禁止出租检测不合格的机械设备和施工机具及配件。</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第六十条 违反本条例的规定，出租单位出租未经安全性能检测或者经检测不合格的机械设备和施工机具及配件的，责令停业整顿，并处5万元以上10万元以下的罚款；造成损失的，依法承担赔偿责任。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第六十八条　本条例规定的行政处罚，由建设行政主管部门或者其他有关部门依照法定职权决定。</w:t>
            </w:r>
          </w:p>
        </w:tc>
        <w:tc>
          <w:tcPr>
            <w:tcW w:w="926" w:type="dxa"/>
            <w:vMerge w:val="continue"/>
            <w:tcBorders>
              <w:tl2br w:val="nil"/>
              <w:tr2bl w:val="nil"/>
            </w:tcBorders>
            <w:shd w:val="clear" w:color="auto" w:fill="auto"/>
            <w:vAlign w:val="center"/>
          </w:tcPr>
          <w:p w14:paraId="7FD9A07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1904903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0D88ADB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0200085000</w:t>
            </w:r>
          </w:p>
        </w:tc>
        <w:tc>
          <w:tcPr>
            <w:tcW w:w="1282" w:type="dxa"/>
            <w:tcBorders>
              <w:tl2br w:val="nil"/>
              <w:tr2bl w:val="nil"/>
            </w:tcBorders>
            <w:shd w:val="clear" w:color="auto" w:fill="auto"/>
            <w:vAlign w:val="center"/>
          </w:tcPr>
          <w:p w14:paraId="3CDFBE4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对出租机械设备和施工机具及配件的单位出租未经安全性能检测或者经检测不合格的机械设备和施工机具及配件的处罚</w:t>
            </w:r>
          </w:p>
        </w:tc>
        <w:tc>
          <w:tcPr>
            <w:tcW w:w="1016" w:type="dxa"/>
            <w:tcBorders>
              <w:tl2br w:val="nil"/>
              <w:tr2bl w:val="nil"/>
            </w:tcBorders>
            <w:vAlign w:val="center"/>
          </w:tcPr>
          <w:p w14:paraId="1C66485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3872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DD18E3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328D4ED">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68B1F2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8B866E9">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BE82AF5">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34F81B53">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第十七条第二款　安装、拆卸施工起重机械和整体提升脚手架、模板等自升式架设设施，应当编制拆装方案、制定安全施工措施，并由专业技术人员现场监督。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第六十一条　违反本条例的规定，施工起重机械和整体提升脚手架、模板等自升式架设设施安装、拆卸单位有下列行为之一的，责令限期改正，处5万元以上10万元以下的罚款；情节严重的，责令停业整顿，降低资质等级，直至吊销资质证书；造成损失的，依法承担赔偿责任：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（一）未编制拆装方案、制定安全施工措施的；</w:t>
            </w:r>
          </w:p>
        </w:tc>
        <w:tc>
          <w:tcPr>
            <w:tcW w:w="926" w:type="dxa"/>
            <w:vMerge w:val="continue"/>
            <w:tcBorders>
              <w:tl2br w:val="nil"/>
              <w:tr2bl w:val="nil"/>
            </w:tcBorders>
            <w:shd w:val="clear" w:color="auto" w:fill="auto"/>
            <w:vAlign w:val="center"/>
          </w:tcPr>
          <w:p w14:paraId="0817592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33F0CC7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5D67B4E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0200086000</w:t>
            </w:r>
          </w:p>
        </w:tc>
        <w:tc>
          <w:tcPr>
            <w:tcW w:w="1282" w:type="dxa"/>
            <w:tcBorders>
              <w:tl2br w:val="nil"/>
              <w:tr2bl w:val="nil"/>
            </w:tcBorders>
            <w:shd w:val="clear" w:color="auto" w:fill="auto"/>
            <w:vAlign w:val="center"/>
          </w:tcPr>
          <w:p w14:paraId="5B8216A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对安装、拆卸施工起重机械和整体提升脚手架、模板等自升式架设设施未编制拆装方案、制定安全施工措施的处罚</w:t>
            </w:r>
          </w:p>
        </w:tc>
        <w:tc>
          <w:tcPr>
            <w:tcW w:w="1016" w:type="dxa"/>
            <w:tcBorders>
              <w:tl2br w:val="nil"/>
              <w:tr2bl w:val="nil"/>
            </w:tcBorders>
            <w:vAlign w:val="center"/>
          </w:tcPr>
          <w:p w14:paraId="6C84D44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1F1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13A4E09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8FCE3BF">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F0E7F14">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E309C52">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3CD48B5">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33E3C65">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第十七条第二款　安装、拆卸施工起重机械和整体提升脚手架、模板等自升式架设设施，应当编制拆装方案、制定安全施工措施，并由专业技术人员现场监督。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第六十一条　违反本条例的规定，施工起重机械和整体提升脚手架、模板等自升式架设设施安装、拆卸单位有下列行为之一的，责令限期改正，处5万元以上10万元以下的罚款；情节严重的，责令停业整顿，降低资质等级，直至吊销资质证书；造成损失的，依法承担赔偿责任：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（二）未由专业技术人员现场监督的；</w:t>
            </w:r>
          </w:p>
        </w:tc>
        <w:tc>
          <w:tcPr>
            <w:tcW w:w="926" w:type="dxa"/>
            <w:vMerge w:val="continue"/>
            <w:tcBorders>
              <w:tl2br w:val="nil"/>
              <w:tr2bl w:val="nil"/>
            </w:tcBorders>
            <w:shd w:val="clear" w:color="auto" w:fill="auto"/>
            <w:vAlign w:val="center"/>
          </w:tcPr>
          <w:p w14:paraId="59900B2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0BD9D84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060280A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0200087000</w:t>
            </w:r>
          </w:p>
        </w:tc>
        <w:tc>
          <w:tcPr>
            <w:tcW w:w="1282" w:type="dxa"/>
            <w:tcBorders>
              <w:tl2br w:val="nil"/>
              <w:tr2bl w:val="nil"/>
            </w:tcBorders>
            <w:shd w:val="clear" w:color="auto" w:fill="auto"/>
            <w:vAlign w:val="center"/>
          </w:tcPr>
          <w:p w14:paraId="0497F91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对安装、拆卸施工起重机械和整体提升脚手架、模板等自升式架设设施未由专业技术人员现场监督的处罚</w:t>
            </w:r>
          </w:p>
        </w:tc>
        <w:tc>
          <w:tcPr>
            <w:tcW w:w="1016" w:type="dxa"/>
            <w:tcBorders>
              <w:tl2br w:val="nil"/>
              <w:tr2bl w:val="nil"/>
            </w:tcBorders>
            <w:vAlign w:val="center"/>
          </w:tcPr>
          <w:p w14:paraId="38A407A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766F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B43B32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680369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AB36370">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650F39B">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538D1BC6">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26F66DDB">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第十七条第三款　施工起重机械和整体提升脚手架、模板等自升式架设设施安装完毕后，安装单位应当自检，出具自检合格证明，并向施工单位进行安全使用说明，办理验收手续并签字。</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第六十一条　违反本条例的规定，施工起重机械和整体提升脚手架、模板等自升式架设设施安装、拆卸单位有下列行为之一的，责令限期改正，处5万元以上10万元以下的罚款；情节严重的，责令停业整顿，降低资质等级，直至吊销资质证书；造成损失的，依法承担赔偿责任：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（三）未出具自检合格证明或者出具虚假证明的；</w:t>
            </w:r>
          </w:p>
        </w:tc>
        <w:tc>
          <w:tcPr>
            <w:tcW w:w="926" w:type="dxa"/>
            <w:vMerge w:val="continue"/>
            <w:tcBorders>
              <w:tl2br w:val="nil"/>
              <w:tr2bl w:val="nil"/>
            </w:tcBorders>
            <w:shd w:val="clear" w:color="auto" w:fill="auto"/>
            <w:vAlign w:val="center"/>
          </w:tcPr>
          <w:p w14:paraId="23A42C0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62DA49F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59AC335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0200088000</w:t>
            </w:r>
          </w:p>
        </w:tc>
        <w:tc>
          <w:tcPr>
            <w:tcW w:w="1282" w:type="dxa"/>
            <w:tcBorders>
              <w:tl2br w:val="nil"/>
              <w:tr2bl w:val="nil"/>
            </w:tcBorders>
            <w:shd w:val="clear" w:color="auto" w:fill="auto"/>
            <w:vAlign w:val="center"/>
          </w:tcPr>
          <w:p w14:paraId="554901D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对施工起重机械和整体提升脚手架、模板等自升式架设设施安装完毕后，安装单位未出具自检合格证明或者出具虚假证明的处罚</w:t>
            </w:r>
          </w:p>
        </w:tc>
        <w:tc>
          <w:tcPr>
            <w:tcW w:w="1016" w:type="dxa"/>
            <w:tcBorders>
              <w:tl2br w:val="nil"/>
              <w:tr2bl w:val="nil"/>
            </w:tcBorders>
            <w:vAlign w:val="center"/>
          </w:tcPr>
          <w:p w14:paraId="664EC1B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B326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1DDE16C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64B7A28">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074C0B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C559A07">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A55A3EB">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6FA9DC1C">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第十七条第三款　施工起重机械和整体提升脚手架、模板等自升式架设设施安装完毕后，安装单位应当自检，出具自检合格证明，并向施工单位进行安全使用说明，办理验收手续并签字。</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第六十一条　违反本条例的规定，施工起重机械和整体提升脚手架、模板等自升式架设设施安装、拆卸单位有下列行为之一的，责令限期改正，处5万元以上10万元以下的罚款；情节严重的，责令停业整顿，降低资质等级，直至吊销资质证书；造成损失的，依法承担赔偿责任：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（四）未向施工单位进行安全使用说明，办理移交手续的。</w:t>
            </w:r>
          </w:p>
        </w:tc>
        <w:tc>
          <w:tcPr>
            <w:tcW w:w="926" w:type="dxa"/>
            <w:vMerge w:val="continue"/>
            <w:tcBorders>
              <w:tl2br w:val="nil"/>
              <w:tr2bl w:val="nil"/>
            </w:tcBorders>
            <w:shd w:val="clear" w:color="auto" w:fill="auto"/>
            <w:vAlign w:val="center"/>
          </w:tcPr>
          <w:p w14:paraId="51BC370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5F84E74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6C9808C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0200089000</w:t>
            </w:r>
          </w:p>
        </w:tc>
        <w:tc>
          <w:tcPr>
            <w:tcW w:w="1282" w:type="dxa"/>
            <w:tcBorders>
              <w:tl2br w:val="nil"/>
              <w:tr2bl w:val="nil"/>
            </w:tcBorders>
            <w:shd w:val="clear" w:color="auto" w:fill="auto"/>
            <w:vAlign w:val="center"/>
          </w:tcPr>
          <w:p w14:paraId="31C63BE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对施工起重机械和整体提升脚手架、模板等自升式架设设施安装完毕后，安装单位未向施工单位进行安全使用说明，办理移交手续的处罚</w:t>
            </w:r>
          </w:p>
        </w:tc>
        <w:tc>
          <w:tcPr>
            <w:tcW w:w="1016" w:type="dxa"/>
            <w:tcBorders>
              <w:tl2br w:val="nil"/>
              <w:tr2bl w:val="nil"/>
            </w:tcBorders>
            <w:vAlign w:val="center"/>
          </w:tcPr>
          <w:p w14:paraId="2BAB926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47F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7A39130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C42A79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66D21C3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41B28B1C">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493A013">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6EF6C13">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第九十四条 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(一)未按照规定设置安全生产管理机构或者配备安全生产管理人员的;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第二十三条第一款  施工单位应当设立安全生产管理机构，配备专职安全生产管理人员。</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第二款  专职安全生产管理人员负责对安全生产进行现场监督检查。发现安全事故隐患，应当及时向项目负责人和安全生产管理机构报告；对违章指挥、违章操作的，应当立即制止。</w:t>
            </w:r>
          </w:p>
        </w:tc>
        <w:tc>
          <w:tcPr>
            <w:tcW w:w="926" w:type="dxa"/>
            <w:vMerge w:val="continue"/>
            <w:tcBorders>
              <w:tl2br w:val="nil"/>
              <w:tr2bl w:val="nil"/>
            </w:tcBorders>
            <w:shd w:val="clear" w:color="auto" w:fill="auto"/>
            <w:vAlign w:val="center"/>
          </w:tcPr>
          <w:p w14:paraId="22A8C4C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48DD1A6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2B0447C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0200090000</w:t>
            </w:r>
          </w:p>
        </w:tc>
        <w:tc>
          <w:tcPr>
            <w:tcW w:w="1282" w:type="dxa"/>
            <w:tcBorders>
              <w:tl2br w:val="nil"/>
              <w:tr2bl w:val="nil"/>
            </w:tcBorders>
            <w:shd w:val="clear" w:color="auto" w:fill="auto"/>
            <w:vAlign w:val="center"/>
          </w:tcPr>
          <w:p w14:paraId="0B28010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对施工单位未设立安全生产管理机构、配备专职安全生产管理人员或者分部分项工程施工时无专职安全生产管理人员现场监督的处罚</w:t>
            </w:r>
          </w:p>
        </w:tc>
        <w:tc>
          <w:tcPr>
            <w:tcW w:w="1016" w:type="dxa"/>
            <w:tcBorders>
              <w:tl2br w:val="nil"/>
              <w:tr2bl w:val="nil"/>
            </w:tcBorders>
            <w:vAlign w:val="center"/>
          </w:tcPr>
          <w:p w14:paraId="044F1FA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3096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621183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1C68D7F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309AD590">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B01A8ED">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3FB27BBA">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6450160">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第九十四条 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(二)危险物品的生产、经营、储存单位以及矿山、金属冶炼、建筑施工、道路运输单位的主要负责人和安全生产管理人员未按照规定经考核合格的;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(三)未按照规定对从业人员、被派遣劳动者、实习学生进行安全生产教育和培训，或者未按照规定如实告知有关的安全生产事项的；</w:t>
            </w:r>
          </w:p>
        </w:tc>
        <w:tc>
          <w:tcPr>
            <w:tcW w:w="926" w:type="dxa"/>
            <w:vMerge w:val="continue"/>
            <w:tcBorders>
              <w:tl2br w:val="nil"/>
              <w:tr2bl w:val="nil"/>
            </w:tcBorders>
            <w:shd w:val="clear" w:color="auto" w:fill="auto"/>
            <w:vAlign w:val="center"/>
          </w:tcPr>
          <w:p w14:paraId="6C0142F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1BA14AF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7D5635F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0200091000</w:t>
            </w:r>
          </w:p>
        </w:tc>
        <w:tc>
          <w:tcPr>
            <w:tcW w:w="1282" w:type="dxa"/>
            <w:tcBorders>
              <w:tl2br w:val="nil"/>
              <w:tr2bl w:val="nil"/>
            </w:tcBorders>
            <w:shd w:val="clear" w:color="auto" w:fill="auto"/>
            <w:vAlign w:val="center"/>
          </w:tcPr>
          <w:p w14:paraId="4D78524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对施工单位的主要负责人、项目负责人、专职安全生产管理人员、作业人员或者特种作业人员未经安全教育培训或者经考核不合格即从事相关工作的处罚</w:t>
            </w:r>
          </w:p>
        </w:tc>
        <w:tc>
          <w:tcPr>
            <w:tcW w:w="1016" w:type="dxa"/>
            <w:tcBorders>
              <w:tl2br w:val="nil"/>
              <w:tr2bl w:val="nil"/>
            </w:tcBorders>
            <w:vAlign w:val="center"/>
          </w:tcPr>
          <w:p w14:paraId="3C70E68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E72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56E60E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5917F7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2D75DF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3B948E5">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36351E2">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30A54C76">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第三十二条 生产经营单位应当在有较大危险因素的生产经营场所和有关设施、设备上，设置明显的安全警示标志。</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第九十六条　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(一)未在有较大危险因素的生产经营场所和有关设施、设备上设置明显的安全警示。</w:t>
            </w:r>
          </w:p>
        </w:tc>
        <w:tc>
          <w:tcPr>
            <w:tcW w:w="926" w:type="dxa"/>
            <w:vMerge w:val="continue"/>
            <w:tcBorders>
              <w:tl2br w:val="nil"/>
              <w:tr2bl w:val="nil"/>
            </w:tcBorders>
            <w:shd w:val="clear" w:color="auto" w:fill="auto"/>
            <w:vAlign w:val="center"/>
          </w:tcPr>
          <w:p w14:paraId="5332AD8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4BA9E54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0EA9E3B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0200092000</w:t>
            </w:r>
          </w:p>
        </w:tc>
        <w:tc>
          <w:tcPr>
            <w:tcW w:w="1282" w:type="dxa"/>
            <w:tcBorders>
              <w:tl2br w:val="nil"/>
              <w:tr2bl w:val="nil"/>
            </w:tcBorders>
            <w:shd w:val="clear" w:color="auto" w:fill="auto"/>
            <w:vAlign w:val="center"/>
          </w:tcPr>
          <w:p w14:paraId="29096AE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对施工单位未在施工现场的危险部位设置明显的安全警示标志，或者未按照国家有关规定在施工现场设置消防通道、消防水源、配备消防设施和灭火器材的处罚</w:t>
            </w:r>
          </w:p>
        </w:tc>
        <w:tc>
          <w:tcPr>
            <w:tcW w:w="1016" w:type="dxa"/>
            <w:tcBorders>
              <w:tl2br w:val="nil"/>
              <w:tr2bl w:val="nil"/>
            </w:tcBorders>
            <w:vAlign w:val="center"/>
          </w:tcPr>
          <w:p w14:paraId="6A9C853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B9DD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1E94368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46D3393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DAC44B4">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1009032">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2590528F">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7B431B0">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第四十二条 生产经营单位必须为从业人员提供符合国家标准或者行业标准的劳动防护用品，并监督、教育从业人员按照使用规则佩戴、使用。</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第九十六条　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(四)未为从业人员提供符合国家标准或者行业标准的劳动防护用品的；</w:t>
            </w:r>
          </w:p>
        </w:tc>
        <w:tc>
          <w:tcPr>
            <w:tcW w:w="926" w:type="dxa"/>
            <w:vMerge w:val="continue"/>
            <w:tcBorders>
              <w:tl2br w:val="nil"/>
              <w:tr2bl w:val="nil"/>
            </w:tcBorders>
            <w:shd w:val="clear" w:color="auto" w:fill="auto"/>
            <w:vAlign w:val="center"/>
          </w:tcPr>
          <w:p w14:paraId="77A83C8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4C82C78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35E700B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0200093000</w:t>
            </w:r>
          </w:p>
        </w:tc>
        <w:tc>
          <w:tcPr>
            <w:tcW w:w="1282" w:type="dxa"/>
            <w:tcBorders>
              <w:tl2br w:val="nil"/>
              <w:tr2bl w:val="nil"/>
            </w:tcBorders>
            <w:shd w:val="clear" w:color="auto" w:fill="auto"/>
            <w:vAlign w:val="center"/>
          </w:tcPr>
          <w:p w14:paraId="7399CEB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对施工单位未向作业人员提供安全防护用具和安全防护服装的处罚</w:t>
            </w:r>
          </w:p>
        </w:tc>
        <w:tc>
          <w:tcPr>
            <w:tcW w:w="1016" w:type="dxa"/>
            <w:tcBorders>
              <w:tl2br w:val="nil"/>
              <w:tr2bl w:val="nil"/>
            </w:tcBorders>
            <w:vAlign w:val="center"/>
          </w:tcPr>
          <w:p w14:paraId="0A5B4EC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5015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9BEC73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6C52AF89">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2C1F99D">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F61A1EE">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C1BB646">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3A2EC40">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第九十六条　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(五)危险物品的容器、运输工具，以及涉及人身安全、危险性较大的海洋石油开采特种设备和矿山井下特种设备未经具有专业资质的机构检测、检验合格，取得安全使用证或者安全标志，投入使用的;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二条：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(五)未按照规定在施工起重机械和整体提升脚手架、模板等自升式架设设施验收合格后登记的；</w:t>
            </w:r>
          </w:p>
        </w:tc>
        <w:tc>
          <w:tcPr>
            <w:tcW w:w="926" w:type="dxa"/>
            <w:vMerge w:val="continue"/>
            <w:tcBorders>
              <w:tl2br w:val="nil"/>
              <w:tr2bl w:val="nil"/>
            </w:tcBorders>
            <w:vAlign w:val="center"/>
          </w:tcPr>
          <w:p w14:paraId="4130E42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CF81BA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13565CC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0200094000</w:t>
            </w:r>
          </w:p>
        </w:tc>
        <w:tc>
          <w:tcPr>
            <w:tcW w:w="1282" w:type="dxa"/>
            <w:tcBorders>
              <w:tl2br w:val="nil"/>
              <w:tr2bl w:val="nil"/>
            </w:tcBorders>
            <w:shd w:val="clear" w:color="auto" w:fill="auto"/>
            <w:vAlign w:val="center"/>
          </w:tcPr>
          <w:p w14:paraId="486C87E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对施工单位未按照规定在施工起重机械和整体提升脚手架、模板等自升式架设设施验收合格后登记的处罚</w:t>
            </w:r>
          </w:p>
        </w:tc>
        <w:tc>
          <w:tcPr>
            <w:tcW w:w="1016" w:type="dxa"/>
            <w:tcBorders>
              <w:tl2br w:val="nil"/>
              <w:tr2bl w:val="nil"/>
            </w:tcBorders>
            <w:vAlign w:val="center"/>
          </w:tcPr>
          <w:p w14:paraId="63664BB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2F74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16FD17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7DFFE7F9">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9696BE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5DD50AFD">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50227A16">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D68DC4A">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第九十六条　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(六)使用应当淘汰的危及生产安全的工艺、设备的。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第四十五条　国家对严重危及施工安全的工艺、设备、材料实行淘汰制度。</w:t>
            </w:r>
          </w:p>
        </w:tc>
        <w:tc>
          <w:tcPr>
            <w:tcW w:w="926" w:type="dxa"/>
            <w:vMerge w:val="continue"/>
            <w:tcBorders>
              <w:tl2br w:val="nil"/>
              <w:tr2bl w:val="nil"/>
            </w:tcBorders>
            <w:vAlign w:val="center"/>
          </w:tcPr>
          <w:p w14:paraId="0D717AA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3779C2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583EDD8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0200095000</w:t>
            </w:r>
          </w:p>
        </w:tc>
        <w:tc>
          <w:tcPr>
            <w:tcW w:w="1282" w:type="dxa"/>
            <w:tcBorders>
              <w:tl2br w:val="nil"/>
              <w:tr2bl w:val="nil"/>
            </w:tcBorders>
            <w:shd w:val="clear" w:color="auto" w:fill="auto"/>
            <w:vAlign w:val="center"/>
          </w:tcPr>
          <w:p w14:paraId="1A64BDE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对施工单位使用国家明令淘汰、禁止使用的危及施工安全的工艺、设备、材料的处罚</w:t>
            </w:r>
          </w:p>
        </w:tc>
        <w:tc>
          <w:tcPr>
            <w:tcW w:w="1016" w:type="dxa"/>
            <w:tcBorders>
              <w:tl2br w:val="nil"/>
              <w:tr2bl w:val="nil"/>
            </w:tcBorders>
            <w:vAlign w:val="center"/>
          </w:tcPr>
          <w:p w14:paraId="0B62388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3C282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86BB5C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0467EB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4E785C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A855AF7">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4DBF46A">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3D5DDF9E">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第八条　建设单位在编制工程概算时，应当确定建设工程安全作业环境及安全施工措施所需费用。</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第二十二条　施工单位对列入建设工程概算的安全作业环境及安全施工措施所需费用，应当用于施工安全防护用具及设施的采购和更新、安全施工措施的落实、安全生产条件的改善，不得挪作他用。</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第六十三条　违反本条例的规定，施工单位挪用列入建设工程概算的安全生产作业环境及安全施工措施所需费用的，责令限期改正，处挪用费用20％以上50％以下的罚款；造成损失的，依法承担赔偿责任。</w:t>
            </w:r>
          </w:p>
        </w:tc>
        <w:tc>
          <w:tcPr>
            <w:tcW w:w="926" w:type="dxa"/>
            <w:vMerge w:val="continue"/>
            <w:tcBorders>
              <w:tl2br w:val="nil"/>
              <w:tr2bl w:val="nil"/>
            </w:tcBorders>
            <w:vAlign w:val="center"/>
          </w:tcPr>
          <w:p w14:paraId="310E47D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26AE15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6C47390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0200096000</w:t>
            </w:r>
          </w:p>
        </w:tc>
        <w:tc>
          <w:tcPr>
            <w:tcW w:w="1282" w:type="dxa"/>
            <w:tcBorders>
              <w:tl2br w:val="nil"/>
              <w:tr2bl w:val="nil"/>
            </w:tcBorders>
            <w:shd w:val="clear" w:color="auto" w:fill="auto"/>
            <w:vAlign w:val="center"/>
          </w:tcPr>
          <w:p w14:paraId="290259B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对施工单位挪用列入建设工程概算的安全生产作业环境及安全施工措施所需费用的处罚</w:t>
            </w:r>
          </w:p>
        </w:tc>
        <w:tc>
          <w:tcPr>
            <w:tcW w:w="1016" w:type="dxa"/>
            <w:tcBorders>
              <w:tl2br w:val="nil"/>
              <w:tr2bl w:val="nil"/>
            </w:tcBorders>
            <w:vAlign w:val="center"/>
          </w:tcPr>
          <w:p w14:paraId="7FB8BB9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5220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177B004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47E8E50">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32AAFCBF">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4B102571">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A97E41D">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6DAA3D7B">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第二十七条　建设工程施工前，施工单位负责项目管理的技术人员应当对有关安全施工的技术要求向施工作业班组、作业人员作出详细说明，并由双方签字确认。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第六十四条第一款　违反本条例的规定，施工单位有下列行为之一的，责令限期改正；逾期未改正的，责令停业整顿，并处5万元以上10万元以下的罚款；造成重大安全事故，构成犯罪的，对直接责任人员，依照刑法有关规定追究刑事责任：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（一）施工前未对有关安全施工的技术要求作出详细说明的。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w:t>
            </w:r>
          </w:p>
        </w:tc>
        <w:tc>
          <w:tcPr>
            <w:tcW w:w="926" w:type="dxa"/>
            <w:vMerge w:val="continue"/>
            <w:tcBorders>
              <w:tl2br w:val="nil"/>
              <w:tr2bl w:val="nil"/>
            </w:tcBorders>
            <w:vAlign w:val="center"/>
          </w:tcPr>
          <w:p w14:paraId="3466A7A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2D9AA05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2175458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0200097000</w:t>
            </w:r>
          </w:p>
        </w:tc>
        <w:tc>
          <w:tcPr>
            <w:tcW w:w="1282" w:type="dxa"/>
            <w:tcBorders>
              <w:tl2br w:val="nil"/>
              <w:tr2bl w:val="nil"/>
            </w:tcBorders>
            <w:shd w:val="clear" w:color="auto" w:fill="auto"/>
            <w:vAlign w:val="center"/>
          </w:tcPr>
          <w:p w14:paraId="02DDC36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对施工单位施工前未对有关安全施工的技术要求作出详细说明的处罚</w:t>
            </w:r>
          </w:p>
        </w:tc>
        <w:tc>
          <w:tcPr>
            <w:tcW w:w="1016" w:type="dxa"/>
            <w:tcBorders>
              <w:tl2br w:val="nil"/>
              <w:tr2bl w:val="nil"/>
            </w:tcBorders>
            <w:vAlign w:val="center"/>
          </w:tcPr>
          <w:p w14:paraId="4E04510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59F8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4AD65C0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74285B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ABEB18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BA0AE7E">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5E2B881">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0D07129">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第二十八条第二款  施工单位应当根据不同施工阶段和周围环境及季节、气候的变化，在施工现场采取相应的安全施工措施。施工现场暂时停止施工的，施工单位应当做好现场防护，所需费用由责任方承担，或者按照合同约定执行。</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第三十条第三款  在城市市区内的建设工程，施工单位应当对施工现场实行封闭围挡。</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第六十四条第一款　违反本条例的规定，施工单位有下列行为之一的，责令限期改正；逾期未改正的，责令停业整顿，并处5万元以上10万元以下的罚款；造成重大安全事故，构成犯罪的，对直接责任人员，依照刑法有关规定追究刑事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(二)未根据不同施工阶段和周围环境及季节、气候的变化，在施工现场采取相应的安全施工措施，或者在城市市区内的建设工程的施工现场未实行封闭围挡的；</w:t>
            </w:r>
          </w:p>
        </w:tc>
        <w:tc>
          <w:tcPr>
            <w:tcW w:w="926" w:type="dxa"/>
            <w:vMerge w:val="continue"/>
            <w:tcBorders>
              <w:tl2br w:val="nil"/>
              <w:tr2bl w:val="nil"/>
            </w:tcBorders>
            <w:vAlign w:val="center"/>
          </w:tcPr>
          <w:p w14:paraId="1F5102D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3A8177F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55203E6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0200098000</w:t>
            </w:r>
          </w:p>
        </w:tc>
        <w:tc>
          <w:tcPr>
            <w:tcW w:w="1282" w:type="dxa"/>
            <w:tcBorders>
              <w:tl2br w:val="nil"/>
              <w:tr2bl w:val="nil"/>
            </w:tcBorders>
            <w:shd w:val="clear" w:color="auto" w:fill="auto"/>
            <w:vAlign w:val="center"/>
          </w:tcPr>
          <w:p w14:paraId="6D07128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对施工单位未根据不同施工阶段和周围环境及季节、气候的变化，在施工现场采取相应的安全施工措施，或者在城市市区内的建设工程的施工现场未实行封闭围挡的处罚</w:t>
            </w:r>
          </w:p>
        </w:tc>
        <w:tc>
          <w:tcPr>
            <w:tcW w:w="1016" w:type="dxa"/>
            <w:tcBorders>
              <w:tl2br w:val="nil"/>
              <w:tr2bl w:val="nil"/>
            </w:tcBorders>
            <w:vAlign w:val="center"/>
          </w:tcPr>
          <w:p w14:paraId="77F405D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9ADF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04CC1E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761E40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A28B20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5DE2009">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E05340C">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73F9271E">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第二十九条第一款　施工单位应当将施工现场的办公、生活区与作业区分开设置，并保持安全距离；办公、生活区的选址应当符合安全性要求。职工的膳食、饮水、休息场所等应当符合卫生标准。施工单位不得在尚未竣工的建筑物内设置员工集体宿舍。</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第六十四条第一款　违反本条例的规定，施工单位有下列行为之一的，责令限期改正；逾期未改正的，责令停业整顿，并处5万元以上10万元以下的罚款；造成重大安全事故，构成犯罪的，对直接责任人员，依照刑法有关规定追究刑事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(三)在尚未竣工的建筑物内设置员工集体宿舍的</w:t>
            </w:r>
          </w:p>
        </w:tc>
        <w:tc>
          <w:tcPr>
            <w:tcW w:w="926" w:type="dxa"/>
            <w:vMerge w:val="continue"/>
            <w:tcBorders>
              <w:tl2br w:val="nil"/>
              <w:tr2bl w:val="nil"/>
            </w:tcBorders>
            <w:vAlign w:val="center"/>
          </w:tcPr>
          <w:p w14:paraId="2B59FD9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78E828B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3108743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0200099000</w:t>
            </w:r>
          </w:p>
        </w:tc>
        <w:tc>
          <w:tcPr>
            <w:tcW w:w="1282" w:type="dxa"/>
            <w:tcBorders>
              <w:tl2br w:val="nil"/>
              <w:tr2bl w:val="nil"/>
            </w:tcBorders>
            <w:shd w:val="clear" w:color="auto" w:fill="auto"/>
            <w:vAlign w:val="center"/>
          </w:tcPr>
          <w:p w14:paraId="7C3894D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对施工单位在尚未竣工的建筑物内设置员工集体宿舍的处罚</w:t>
            </w:r>
          </w:p>
        </w:tc>
        <w:tc>
          <w:tcPr>
            <w:tcW w:w="1016" w:type="dxa"/>
            <w:tcBorders>
              <w:tl2br w:val="nil"/>
              <w:tr2bl w:val="nil"/>
            </w:tcBorders>
            <w:vAlign w:val="center"/>
          </w:tcPr>
          <w:p w14:paraId="2AA9BE6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8EBA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7C6A27E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60CDE7E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F8D4F0F">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1DF30DC">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FE5190A">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70B512FD">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第二十九条第二款  施工现场临时搭建的建筑物应当符合安全使用要求。施工现场使用的装配式活动房屋应当具有产品合格证。</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第六十四条第一款　违反本条例的规定，施工单位有下列行为之一的，责令限期改正；逾期未改正的，责令停业整顿，并处5万元以上10万元以下的罚款；造成重大安全事故，构成犯罪的，对直接责任人员，依照刑法有关规定追究刑事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（四）施工现场临时搭建的建筑物不符合安全使用要求的。</w:t>
            </w:r>
          </w:p>
        </w:tc>
        <w:tc>
          <w:tcPr>
            <w:tcW w:w="926" w:type="dxa"/>
            <w:vMerge w:val="continue"/>
            <w:tcBorders>
              <w:tl2br w:val="nil"/>
              <w:tr2bl w:val="nil"/>
            </w:tcBorders>
            <w:vAlign w:val="center"/>
          </w:tcPr>
          <w:p w14:paraId="036C822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2218BDB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56086D7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0200100000</w:t>
            </w:r>
          </w:p>
        </w:tc>
        <w:tc>
          <w:tcPr>
            <w:tcW w:w="1282" w:type="dxa"/>
            <w:tcBorders>
              <w:tl2br w:val="nil"/>
              <w:tr2bl w:val="nil"/>
            </w:tcBorders>
            <w:shd w:val="clear" w:color="auto" w:fill="auto"/>
            <w:vAlign w:val="center"/>
          </w:tcPr>
          <w:p w14:paraId="5791CCF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对施工单位施工现场临时搭建的建筑物不符合安全使用要求的处罚</w:t>
            </w:r>
          </w:p>
        </w:tc>
        <w:tc>
          <w:tcPr>
            <w:tcW w:w="1016" w:type="dxa"/>
            <w:tcBorders>
              <w:tl2br w:val="nil"/>
              <w:tr2bl w:val="nil"/>
            </w:tcBorders>
            <w:vAlign w:val="center"/>
          </w:tcPr>
          <w:p w14:paraId="0360A21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5024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21C8C0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1268222F">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629D7B23">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8B5AA8E">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61AB0DB8">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367A5DF0">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第三十条第一款　施工单位对因建设工程施工可能造成损害的毗邻建筑物、构筑物和地下管线等，应当采取专项防护措施。</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第六十四条　违反本条例的规定，施工单位有下列行为之一的，责令限期改正；逾期未改正的，责令停业整顿，并处5万元以上10万元以下的罚款；造成重大安全事故，构成犯罪的，对直接责任人员，依照刑法有关规定追究刑事责任：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（五）未对因建设工程施工可能造成损害的毗邻建筑物、构筑物和地下管线等采取专项防护措施的。 </w:t>
            </w:r>
          </w:p>
        </w:tc>
        <w:tc>
          <w:tcPr>
            <w:tcW w:w="926" w:type="dxa"/>
            <w:vMerge w:val="continue"/>
            <w:tcBorders>
              <w:tl2br w:val="nil"/>
              <w:tr2bl w:val="nil"/>
            </w:tcBorders>
            <w:vAlign w:val="center"/>
          </w:tcPr>
          <w:p w14:paraId="4D3A6DD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388B4A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4B25824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0200101000</w:t>
            </w:r>
          </w:p>
        </w:tc>
        <w:tc>
          <w:tcPr>
            <w:tcW w:w="1282" w:type="dxa"/>
            <w:tcBorders>
              <w:tl2br w:val="nil"/>
              <w:tr2bl w:val="nil"/>
            </w:tcBorders>
            <w:shd w:val="clear" w:color="auto" w:fill="auto"/>
            <w:vAlign w:val="center"/>
          </w:tcPr>
          <w:p w14:paraId="05E5EC8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对施工单位未对因建设工程施工可能造成损害的毗邻建筑物、构筑物和地下管线等采取专项防护措施的处罚</w:t>
            </w:r>
          </w:p>
        </w:tc>
        <w:tc>
          <w:tcPr>
            <w:tcW w:w="1016" w:type="dxa"/>
            <w:tcBorders>
              <w:tl2br w:val="nil"/>
              <w:tr2bl w:val="nil"/>
            </w:tcBorders>
            <w:vAlign w:val="center"/>
          </w:tcPr>
          <w:p w14:paraId="2558CBD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36FD2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5A9935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7622351">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8ACD2BF">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4405F68B">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22C15F03">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59363CCA">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第三十四条第一款　施工单位采购、租赁的安全防护用具、机械设备、施工机具及配件，应当具有生产（制造）许可证、产品合格证，并在进入施工现场前进行查验。</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第六十五条　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tc>
        <w:tc>
          <w:tcPr>
            <w:tcW w:w="926" w:type="dxa"/>
            <w:vMerge w:val="continue"/>
            <w:tcBorders>
              <w:tl2br w:val="nil"/>
              <w:tr2bl w:val="nil"/>
            </w:tcBorders>
            <w:vAlign w:val="center"/>
          </w:tcPr>
          <w:p w14:paraId="75C09A8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4C4E37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3C01FE7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0200102000</w:t>
            </w:r>
          </w:p>
        </w:tc>
        <w:tc>
          <w:tcPr>
            <w:tcW w:w="1282" w:type="dxa"/>
            <w:tcBorders>
              <w:tl2br w:val="nil"/>
              <w:tr2bl w:val="nil"/>
            </w:tcBorders>
            <w:shd w:val="clear" w:color="auto" w:fill="auto"/>
            <w:vAlign w:val="center"/>
          </w:tcPr>
          <w:p w14:paraId="50C5EFA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对安全防护用具、机械设备、施工机具及配件在进入施工现场前未经查验或者查验不合格即投入使用的处罚</w:t>
            </w:r>
          </w:p>
        </w:tc>
        <w:tc>
          <w:tcPr>
            <w:tcW w:w="1016" w:type="dxa"/>
            <w:tcBorders>
              <w:tl2br w:val="nil"/>
              <w:tr2bl w:val="nil"/>
            </w:tcBorders>
            <w:vAlign w:val="center"/>
          </w:tcPr>
          <w:p w14:paraId="555E868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53689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1DD7F3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336433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449411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EA4663E">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F31600D">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6CA8050">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第三十四条第一款　施工单位采购、租赁的安全防护用具、机械设备、施工机具及配件，应当具有生产（制造）许可证、产品合格证，并在进入施工现场前进行查验。</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第六十五条　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tc>
        <w:tc>
          <w:tcPr>
            <w:tcW w:w="926" w:type="dxa"/>
            <w:vMerge w:val="continue"/>
            <w:tcBorders>
              <w:tl2br w:val="nil"/>
              <w:tr2bl w:val="nil"/>
            </w:tcBorders>
            <w:vAlign w:val="center"/>
          </w:tcPr>
          <w:p w14:paraId="2167B6C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1AE7F61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562DB95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0200103000</w:t>
            </w:r>
          </w:p>
        </w:tc>
        <w:tc>
          <w:tcPr>
            <w:tcW w:w="1282" w:type="dxa"/>
            <w:tcBorders>
              <w:tl2br w:val="nil"/>
              <w:tr2bl w:val="nil"/>
            </w:tcBorders>
            <w:shd w:val="clear" w:color="auto" w:fill="auto"/>
            <w:vAlign w:val="center"/>
          </w:tcPr>
          <w:p w14:paraId="658BEC8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对施工单位使用未经验收或者验收不合格的施工起重机械和整体提升脚手架、模板等自升式架设设施的处罚</w:t>
            </w:r>
          </w:p>
        </w:tc>
        <w:tc>
          <w:tcPr>
            <w:tcW w:w="1016" w:type="dxa"/>
            <w:tcBorders>
              <w:tl2br w:val="nil"/>
              <w:tr2bl w:val="nil"/>
            </w:tcBorders>
            <w:vAlign w:val="center"/>
          </w:tcPr>
          <w:p w14:paraId="607A7AE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7D7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99140E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BEAE2D7">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6BBF3C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8F3F265">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70CCE45">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27FD849">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第十七条第一款　在施工现场安装、拆卸施工起重机械和整体提升脚手架、模板等自升式架设设施，必须由具有相应资质的单位承担。</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第六十五条　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（三）委托不具有相应资质的单位承担施工现场安装、拆卸施工起重机械和整体提升脚手架、模板等自升式架设设施的</w:t>
            </w:r>
          </w:p>
        </w:tc>
        <w:tc>
          <w:tcPr>
            <w:tcW w:w="926" w:type="dxa"/>
            <w:vMerge w:val="continue"/>
            <w:tcBorders>
              <w:tl2br w:val="nil"/>
              <w:tr2bl w:val="nil"/>
            </w:tcBorders>
            <w:vAlign w:val="center"/>
          </w:tcPr>
          <w:p w14:paraId="58EE4B4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7E581F8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738AF49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0200104000</w:t>
            </w:r>
          </w:p>
        </w:tc>
        <w:tc>
          <w:tcPr>
            <w:tcW w:w="1282" w:type="dxa"/>
            <w:tcBorders>
              <w:tl2br w:val="nil"/>
              <w:tr2bl w:val="nil"/>
            </w:tcBorders>
            <w:shd w:val="clear" w:color="auto" w:fill="auto"/>
            <w:vAlign w:val="center"/>
          </w:tcPr>
          <w:p w14:paraId="15A9474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对施工单位委托不具有相应资质的单位承担施工现场安装、拆卸施工起重机械和整体提升脚手架、模板等自升式架设设施的处罚</w:t>
            </w:r>
          </w:p>
        </w:tc>
        <w:tc>
          <w:tcPr>
            <w:tcW w:w="1016" w:type="dxa"/>
            <w:tcBorders>
              <w:tl2br w:val="nil"/>
              <w:tr2bl w:val="nil"/>
            </w:tcBorders>
            <w:vAlign w:val="center"/>
          </w:tcPr>
          <w:p w14:paraId="1B037E8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6B0C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7EC4C67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E391E23">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6538A0E4">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7AEE084">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6CA1CAEC">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675FCD55">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第二十六条第一款　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（一）基坑支护与降水工程；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（二）土方开挖工程；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（三）模板工程；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（四）起重吊装工程；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（五）脚手架工程；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（六）拆除、爆破工程；</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(七)国务院建设行政主管部门或者其他有关部门规定的其他危险性较大的工程。</w:t>
            </w:r>
          </w:p>
        </w:tc>
        <w:tc>
          <w:tcPr>
            <w:tcW w:w="926" w:type="dxa"/>
            <w:vMerge w:val="continue"/>
            <w:tcBorders>
              <w:tl2br w:val="nil"/>
              <w:tr2bl w:val="nil"/>
            </w:tcBorders>
            <w:vAlign w:val="center"/>
          </w:tcPr>
          <w:p w14:paraId="4290435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7513084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0B7A442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0200105000</w:t>
            </w:r>
          </w:p>
        </w:tc>
        <w:tc>
          <w:tcPr>
            <w:tcW w:w="1282" w:type="dxa"/>
            <w:tcBorders>
              <w:tl2br w:val="nil"/>
              <w:tr2bl w:val="nil"/>
            </w:tcBorders>
            <w:shd w:val="clear" w:color="auto" w:fill="auto"/>
            <w:vAlign w:val="center"/>
          </w:tcPr>
          <w:p w14:paraId="4A9D7FA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对施工单位在施工组织设计中未编制安全技术措施、施工现场临时用电方案或者专项施工方案的处罚</w:t>
            </w:r>
          </w:p>
        </w:tc>
        <w:tc>
          <w:tcPr>
            <w:tcW w:w="1016" w:type="dxa"/>
            <w:tcBorders>
              <w:tl2br w:val="nil"/>
              <w:tr2bl w:val="nil"/>
            </w:tcBorders>
            <w:vAlign w:val="center"/>
          </w:tcPr>
          <w:p w14:paraId="370313D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A33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3A80C5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42401361">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824DB01">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8BF9306">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2C1E0B42">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644A95E">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第九十一条 生产经营单位的主要负责人未履行本法规定的安全生产管理职责的，责令限期改正;逾期未改正的，处二万元以上五万元以下的罚款，责令生产经营单位停产停业整顿。</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生产经营单位的主要负责人有前款违法行为，导致发生生产安全事故的，给予撤职处分;构成犯罪的，依照刑法有关规定追究刑事责任。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w:t>
            </w:r>
          </w:p>
        </w:tc>
        <w:tc>
          <w:tcPr>
            <w:tcW w:w="926" w:type="dxa"/>
            <w:vMerge w:val="continue"/>
            <w:tcBorders>
              <w:tl2br w:val="nil"/>
              <w:tr2bl w:val="nil"/>
            </w:tcBorders>
            <w:vAlign w:val="center"/>
          </w:tcPr>
          <w:p w14:paraId="4FEE3F6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3A407F7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77DCFA4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0200106000</w:t>
            </w:r>
          </w:p>
        </w:tc>
        <w:tc>
          <w:tcPr>
            <w:tcW w:w="1282" w:type="dxa"/>
            <w:tcBorders>
              <w:tl2br w:val="nil"/>
              <w:tr2bl w:val="nil"/>
            </w:tcBorders>
            <w:shd w:val="clear" w:color="auto" w:fill="auto"/>
            <w:vAlign w:val="center"/>
          </w:tcPr>
          <w:p w14:paraId="2535443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对施工单位的主要负责人、项目负责人未履行安全生产管理职责的处罚</w:t>
            </w:r>
          </w:p>
        </w:tc>
        <w:tc>
          <w:tcPr>
            <w:tcW w:w="1016" w:type="dxa"/>
            <w:tcBorders>
              <w:tl2br w:val="nil"/>
              <w:tr2bl w:val="nil"/>
            </w:tcBorders>
            <w:vAlign w:val="center"/>
          </w:tcPr>
          <w:p w14:paraId="6FED99A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29FFE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686B25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9AF5C9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6A78B7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DE021E5">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3BBB36B">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DFC78E8">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第一百零八条 生产经营单位不具备本法和其他有关法律、行政法规和国家标准或者行业标准规定的安全生产条件，经停产停业整顿仍不具备安全生产条件的，予以关闭;有关部门应当依法吊销其有关证照。</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【行政法规】《安全生产许可证条例》(国务院令第397号)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第十四条　企业取得安全生产许可证后，不得降低安全生产条件，并应当加强日常安全生产管理，接受安全生产许可证颁发管理机关的监督检查。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安全生产许可证颁发管理机关应当加强对取得安全生产许可证的企业的监督检查，发现其不再具备本条例规定的安全生产条件的，应当暂扣或者吊销安全生产许可证。</w:t>
            </w:r>
          </w:p>
        </w:tc>
        <w:tc>
          <w:tcPr>
            <w:tcW w:w="926" w:type="dxa"/>
            <w:vMerge w:val="continue"/>
            <w:tcBorders>
              <w:tl2br w:val="nil"/>
              <w:tr2bl w:val="nil"/>
            </w:tcBorders>
            <w:vAlign w:val="center"/>
          </w:tcPr>
          <w:p w14:paraId="3618978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2532C2E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610B703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0200107000</w:t>
            </w:r>
          </w:p>
        </w:tc>
        <w:tc>
          <w:tcPr>
            <w:tcW w:w="1282" w:type="dxa"/>
            <w:tcBorders>
              <w:tl2br w:val="nil"/>
              <w:tr2bl w:val="nil"/>
            </w:tcBorders>
            <w:shd w:val="clear" w:color="auto" w:fill="auto"/>
            <w:vAlign w:val="center"/>
          </w:tcPr>
          <w:p w14:paraId="3E644CA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对施工单位取得资质证书后降低安全生产条件的处罚</w:t>
            </w:r>
          </w:p>
        </w:tc>
        <w:tc>
          <w:tcPr>
            <w:tcW w:w="1016" w:type="dxa"/>
            <w:tcBorders>
              <w:tl2br w:val="nil"/>
              <w:tr2bl w:val="nil"/>
            </w:tcBorders>
            <w:vAlign w:val="center"/>
          </w:tcPr>
          <w:p w14:paraId="4FD2878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8AB2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2BD2066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9523D7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3B452D38">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EC045AD">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56F475BA">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0CDE5A3">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第二十条 生产经营单位应当具备的安全生产条件所必需的资金投入，由生产经营单位的决策机构、主要负责人或者个人经营的投资人予以保证，并对由于安全生产所必需的资金投入不足导致的后果承担责任。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第九十条 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有前款违法行为，导致发生生产安全事故的</w:t>
            </w:r>
          </w:p>
        </w:tc>
        <w:tc>
          <w:tcPr>
            <w:tcW w:w="926" w:type="dxa"/>
            <w:vMerge w:val="continue"/>
            <w:tcBorders>
              <w:tl2br w:val="nil"/>
              <w:tr2bl w:val="nil"/>
            </w:tcBorders>
            <w:vAlign w:val="center"/>
          </w:tcPr>
          <w:p w14:paraId="365A95A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72A333C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32F035B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0200108000</w:t>
            </w:r>
          </w:p>
        </w:tc>
        <w:tc>
          <w:tcPr>
            <w:tcW w:w="1282" w:type="dxa"/>
            <w:tcBorders>
              <w:tl2br w:val="nil"/>
              <w:tr2bl w:val="nil"/>
            </w:tcBorders>
            <w:shd w:val="clear" w:color="auto" w:fill="auto"/>
            <w:vAlign w:val="center"/>
          </w:tcPr>
          <w:p w14:paraId="0E5BCFB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对生产经营单位的决策机构、主要负责人或者个人经营的投资人未保证安全生产所必需的资金投入，致使生产经营单位不具备安全生产条件的处罚</w:t>
            </w:r>
          </w:p>
        </w:tc>
        <w:tc>
          <w:tcPr>
            <w:tcW w:w="1016" w:type="dxa"/>
            <w:tcBorders>
              <w:tl2br w:val="nil"/>
              <w:tr2bl w:val="nil"/>
            </w:tcBorders>
            <w:vAlign w:val="center"/>
          </w:tcPr>
          <w:p w14:paraId="587A143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5062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235069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DBDD89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92D7BE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57B81D1">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C0FFE5E">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73B45AC5">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第二十二条 生产经营单位的安全生产管理机构以及安全生产管理人员履行下列职责：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(二)组织或者参与本单位安全生产教育和培训，如实记录安全生产教育和培训情况;</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第九十四条 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(四)未如实记录安全生产教育和培训情况的</w:t>
            </w:r>
          </w:p>
        </w:tc>
        <w:tc>
          <w:tcPr>
            <w:tcW w:w="926" w:type="dxa"/>
            <w:vMerge w:val="continue"/>
            <w:tcBorders>
              <w:tl2br w:val="nil"/>
              <w:tr2bl w:val="nil"/>
            </w:tcBorders>
            <w:vAlign w:val="center"/>
          </w:tcPr>
          <w:p w14:paraId="6040F9E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203A8C0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188B931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0200109000</w:t>
            </w:r>
          </w:p>
        </w:tc>
        <w:tc>
          <w:tcPr>
            <w:tcW w:w="1282" w:type="dxa"/>
            <w:tcBorders>
              <w:tl2br w:val="nil"/>
              <w:tr2bl w:val="nil"/>
            </w:tcBorders>
            <w:shd w:val="clear" w:color="auto" w:fill="auto"/>
            <w:vAlign w:val="center"/>
          </w:tcPr>
          <w:p w14:paraId="61D2034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对生产经营单位未如实记录安全生产教育和培训情况的处罚</w:t>
            </w:r>
          </w:p>
        </w:tc>
        <w:tc>
          <w:tcPr>
            <w:tcW w:w="1016" w:type="dxa"/>
            <w:tcBorders>
              <w:tl2br w:val="nil"/>
              <w:tr2bl w:val="nil"/>
            </w:tcBorders>
            <w:vAlign w:val="center"/>
          </w:tcPr>
          <w:p w14:paraId="784B075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104D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C19EE7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75B0A98D">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36FCF2F0">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851CD73">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64F65F38">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752712F0">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第三十八条 生产经营单位应当建立健全生产安全事故隐患排查治理制度，采取技术、管理措施，及时发现并消除事故隐患。事故隐患排查治理情况应当如实记录，并向从业人员通报。</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第九十四条 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(五)未将事故隐患排查治理情况如实记录或者未向从业人员通报的;</w:t>
            </w:r>
          </w:p>
        </w:tc>
        <w:tc>
          <w:tcPr>
            <w:tcW w:w="926" w:type="dxa"/>
            <w:vMerge w:val="continue"/>
            <w:tcBorders>
              <w:tl2br w:val="nil"/>
              <w:tr2bl w:val="nil"/>
            </w:tcBorders>
            <w:vAlign w:val="center"/>
          </w:tcPr>
          <w:p w14:paraId="48F5F55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101174D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69594FC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0200110000</w:t>
            </w:r>
          </w:p>
        </w:tc>
        <w:tc>
          <w:tcPr>
            <w:tcW w:w="1282" w:type="dxa"/>
            <w:tcBorders>
              <w:tl2br w:val="nil"/>
              <w:tr2bl w:val="nil"/>
            </w:tcBorders>
            <w:shd w:val="clear" w:color="auto" w:fill="auto"/>
            <w:vAlign w:val="center"/>
          </w:tcPr>
          <w:p w14:paraId="3C77956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对生产经营单位未将事故隐患排查治理情况如实记录或者未向从业人员通报的处罚</w:t>
            </w:r>
          </w:p>
        </w:tc>
        <w:tc>
          <w:tcPr>
            <w:tcW w:w="1016" w:type="dxa"/>
            <w:tcBorders>
              <w:tl2br w:val="nil"/>
              <w:tr2bl w:val="nil"/>
            </w:tcBorders>
            <w:vAlign w:val="center"/>
          </w:tcPr>
          <w:p w14:paraId="7A96256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5B053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069205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97E94B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2FFE55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089BD4A">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51BBB444">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0A74805">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第七十八条 生产经营单位应当制定本单位生产安全事故应急救援预案，与所在地县级以上地方人民政府组织制定的生产安全事故应急救援预案相衔接，并定期组织演练。</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第九十四条 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(六)未按照规定制定生产安全事故应急救援预案或者未定期组织演练的;</w:t>
            </w:r>
          </w:p>
        </w:tc>
        <w:tc>
          <w:tcPr>
            <w:tcW w:w="926" w:type="dxa"/>
            <w:vMerge w:val="continue"/>
            <w:tcBorders>
              <w:tl2br w:val="nil"/>
              <w:tr2bl w:val="nil"/>
            </w:tcBorders>
            <w:vAlign w:val="center"/>
          </w:tcPr>
          <w:p w14:paraId="6F7C2DE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789502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0D5BD6E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0200111000</w:t>
            </w:r>
          </w:p>
        </w:tc>
        <w:tc>
          <w:tcPr>
            <w:tcW w:w="1282" w:type="dxa"/>
            <w:tcBorders>
              <w:tl2br w:val="nil"/>
              <w:tr2bl w:val="nil"/>
            </w:tcBorders>
            <w:shd w:val="clear" w:color="auto" w:fill="auto"/>
            <w:vAlign w:val="center"/>
          </w:tcPr>
          <w:p w14:paraId="4C54FA9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对生产经营单位未按照规定制定生产安全事故应急救援预案或者未定期组织演练的处罚</w:t>
            </w:r>
          </w:p>
        </w:tc>
        <w:tc>
          <w:tcPr>
            <w:tcW w:w="1016" w:type="dxa"/>
            <w:tcBorders>
              <w:tl2br w:val="nil"/>
              <w:tr2bl w:val="nil"/>
            </w:tcBorders>
            <w:vAlign w:val="center"/>
          </w:tcPr>
          <w:p w14:paraId="4899746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B615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791204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70C9E1A8">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C50074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2FAC404">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686C19D">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4608F73">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第三十三条第一款 安全设备的设计、制造、安装、使用、检测、维修、改造和报废，应当符合国家标准或者行业标准。</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第九十六条　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(二)安全设备的安装、使用、检测、改造和报废不符合国家标准或者行业标准</w:t>
            </w:r>
          </w:p>
        </w:tc>
        <w:tc>
          <w:tcPr>
            <w:tcW w:w="926" w:type="dxa"/>
            <w:vMerge w:val="continue"/>
            <w:tcBorders>
              <w:tl2br w:val="nil"/>
              <w:tr2bl w:val="nil"/>
            </w:tcBorders>
            <w:vAlign w:val="center"/>
          </w:tcPr>
          <w:p w14:paraId="74BF8BB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A4314C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2464D27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0200112000</w:t>
            </w:r>
          </w:p>
        </w:tc>
        <w:tc>
          <w:tcPr>
            <w:tcW w:w="1282" w:type="dxa"/>
            <w:tcBorders>
              <w:tl2br w:val="nil"/>
              <w:tr2bl w:val="nil"/>
            </w:tcBorders>
            <w:shd w:val="clear" w:color="auto" w:fill="auto"/>
            <w:vAlign w:val="center"/>
          </w:tcPr>
          <w:p w14:paraId="61E9E59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对生产经营单位安全设备的安装、使用、检测、改造和报废不符合国家标准或者行业标准的处罚</w:t>
            </w:r>
          </w:p>
        </w:tc>
        <w:tc>
          <w:tcPr>
            <w:tcW w:w="1016" w:type="dxa"/>
            <w:tcBorders>
              <w:tl2br w:val="nil"/>
              <w:tr2bl w:val="nil"/>
            </w:tcBorders>
            <w:vAlign w:val="center"/>
          </w:tcPr>
          <w:p w14:paraId="51821C3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B89F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9C9474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17B15034">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285F49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0189B17">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A2D20F3">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32E4485">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第三十三条第二款   生产经营单位必须对安全设备进行经常性维护、保养，并定期检测，保证正常运转。维护、保养、检测应当作好记录，并由有关人员签字。</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第九十六条　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(三)未对安全设备进行经常性维护</w:t>
            </w:r>
          </w:p>
        </w:tc>
        <w:tc>
          <w:tcPr>
            <w:tcW w:w="926" w:type="dxa"/>
            <w:vMerge w:val="continue"/>
            <w:tcBorders>
              <w:tl2br w:val="nil"/>
              <w:tr2bl w:val="nil"/>
            </w:tcBorders>
            <w:vAlign w:val="center"/>
          </w:tcPr>
          <w:p w14:paraId="3231575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5735D81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029D946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0200113000</w:t>
            </w:r>
          </w:p>
        </w:tc>
        <w:tc>
          <w:tcPr>
            <w:tcW w:w="1282" w:type="dxa"/>
            <w:tcBorders>
              <w:tl2br w:val="nil"/>
              <w:tr2bl w:val="nil"/>
            </w:tcBorders>
            <w:shd w:val="clear" w:color="auto" w:fill="auto"/>
            <w:vAlign w:val="center"/>
          </w:tcPr>
          <w:p w14:paraId="51C4B56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对生产经营单位未对安全设备进行经常性维护、保养和定期检测的处罚</w:t>
            </w:r>
          </w:p>
        </w:tc>
        <w:tc>
          <w:tcPr>
            <w:tcW w:w="1016" w:type="dxa"/>
            <w:tcBorders>
              <w:tl2br w:val="nil"/>
              <w:tr2bl w:val="nil"/>
            </w:tcBorders>
            <w:vAlign w:val="center"/>
          </w:tcPr>
          <w:p w14:paraId="1D4F8AE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D0E2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0329B6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13B5B839">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B71C89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610D4F6">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EE35F1C">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57871B0">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第三十八条 生产经营单位应当建立健全生产安全事故隐患排查治理制度，采取技术、管理措施，及时发现并消除事故隐患。事故隐患排查治理情况应当如实记录，并向从业人员通报。</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第九十八条 生产经营单位有下列行为之一的，责令限期改正，可以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(四)未建立事故隐患排查治理制度的</w:t>
            </w:r>
          </w:p>
        </w:tc>
        <w:tc>
          <w:tcPr>
            <w:tcW w:w="926" w:type="dxa"/>
            <w:vMerge w:val="continue"/>
            <w:tcBorders>
              <w:tl2br w:val="nil"/>
              <w:tr2bl w:val="nil"/>
            </w:tcBorders>
            <w:vAlign w:val="center"/>
          </w:tcPr>
          <w:p w14:paraId="5606E17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41E350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1F583FC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0200114000</w:t>
            </w:r>
          </w:p>
        </w:tc>
        <w:tc>
          <w:tcPr>
            <w:tcW w:w="1282" w:type="dxa"/>
            <w:tcBorders>
              <w:tl2br w:val="nil"/>
              <w:tr2bl w:val="nil"/>
            </w:tcBorders>
            <w:shd w:val="clear" w:color="auto" w:fill="auto"/>
            <w:vAlign w:val="center"/>
          </w:tcPr>
          <w:p w14:paraId="5067E1F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对生产经营单位未建立事故隐患排查治理制度的处罚</w:t>
            </w:r>
          </w:p>
        </w:tc>
        <w:tc>
          <w:tcPr>
            <w:tcW w:w="1016" w:type="dxa"/>
            <w:tcBorders>
              <w:tl2br w:val="nil"/>
              <w:tr2bl w:val="nil"/>
            </w:tcBorders>
            <w:vAlign w:val="center"/>
          </w:tcPr>
          <w:p w14:paraId="5BEA42B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389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2BB7E75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FE6375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A9128EF">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30A915D">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E470D49">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61EE8763">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第六十七条 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第九十九条 生产经营单位未采取措施消除事故隐患的，责令立即消除或者限期消除；生产经营单位拒不执行的，责令停产停业整顿，并处十万元以上五十万元以下的罚款，对其直接负责的主管人员和其他直接责任人员处二万元以上五万元以下的罚款。</w:t>
            </w:r>
          </w:p>
        </w:tc>
        <w:tc>
          <w:tcPr>
            <w:tcW w:w="926" w:type="dxa"/>
            <w:vMerge w:val="continue"/>
            <w:tcBorders>
              <w:tl2br w:val="nil"/>
              <w:tr2bl w:val="nil"/>
            </w:tcBorders>
            <w:vAlign w:val="center"/>
          </w:tcPr>
          <w:p w14:paraId="6D3FB2F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2B9D694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07478B1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0200115000</w:t>
            </w:r>
          </w:p>
        </w:tc>
        <w:tc>
          <w:tcPr>
            <w:tcW w:w="1282" w:type="dxa"/>
            <w:tcBorders>
              <w:tl2br w:val="nil"/>
              <w:tr2bl w:val="nil"/>
            </w:tcBorders>
            <w:shd w:val="clear" w:color="auto" w:fill="auto"/>
            <w:vAlign w:val="center"/>
          </w:tcPr>
          <w:p w14:paraId="2EAFB41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对生产经营单位未采取措施消除事故隐患的处罚</w:t>
            </w:r>
          </w:p>
        </w:tc>
        <w:tc>
          <w:tcPr>
            <w:tcW w:w="1016" w:type="dxa"/>
            <w:tcBorders>
              <w:tl2br w:val="nil"/>
              <w:tr2bl w:val="nil"/>
            </w:tcBorders>
            <w:vAlign w:val="center"/>
          </w:tcPr>
          <w:p w14:paraId="26FCDDE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64A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4E02970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37EF7C3">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8B5A44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56D335A8">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B06DC8B">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23C1C024">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第四十六条第一款 生产经营单位不得将生产经营项目、场所、设备发包或者出租给不具备安全生产条件或者相应资质的单位或者个人。</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第一百条第一款 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p>
        </w:tc>
        <w:tc>
          <w:tcPr>
            <w:tcW w:w="926" w:type="dxa"/>
            <w:vMerge w:val="continue"/>
            <w:tcBorders>
              <w:tl2br w:val="nil"/>
              <w:tr2bl w:val="nil"/>
            </w:tcBorders>
            <w:vAlign w:val="center"/>
          </w:tcPr>
          <w:p w14:paraId="57748F4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DB6476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0175336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0200116000</w:t>
            </w:r>
          </w:p>
        </w:tc>
        <w:tc>
          <w:tcPr>
            <w:tcW w:w="1282" w:type="dxa"/>
            <w:tcBorders>
              <w:tl2br w:val="nil"/>
              <w:tr2bl w:val="nil"/>
            </w:tcBorders>
            <w:shd w:val="clear" w:color="auto" w:fill="auto"/>
            <w:vAlign w:val="center"/>
          </w:tcPr>
          <w:p w14:paraId="31650C9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对生产经营单位将生产经营项目、场所、设备发包或者出租给不具备安全生产条件或者相应资质的单位或者个人的处罚</w:t>
            </w:r>
          </w:p>
        </w:tc>
        <w:tc>
          <w:tcPr>
            <w:tcW w:w="1016" w:type="dxa"/>
            <w:tcBorders>
              <w:tl2br w:val="nil"/>
              <w:tr2bl w:val="nil"/>
            </w:tcBorders>
            <w:vAlign w:val="center"/>
          </w:tcPr>
          <w:p w14:paraId="66C0DB4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30ED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7D62825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1272F20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B15094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7517290">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3FA148E4">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743F944E">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第四十六条第二款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第一百条第二款 生产经营单位未与承包单位、承租单位签订专门的安全生产管理协议或者未在承包合同、租赁合同中明确各自的安全生产管理职责，或者未对承包单位、承租单位的安全生产统一协调、管理的，责令限期改正，可以处五万元以下的罚款，对其直接负责的主管人员和其他直接责任人员可以处一万元以下的罚款；逾期未改正的，责令停产停业整顿。</w:t>
            </w:r>
          </w:p>
        </w:tc>
        <w:tc>
          <w:tcPr>
            <w:tcW w:w="926" w:type="dxa"/>
            <w:vMerge w:val="continue"/>
            <w:tcBorders>
              <w:tl2br w:val="nil"/>
              <w:tr2bl w:val="nil"/>
            </w:tcBorders>
            <w:vAlign w:val="center"/>
          </w:tcPr>
          <w:p w14:paraId="5DDF254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31252D1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2AED504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0200117000</w:t>
            </w:r>
          </w:p>
        </w:tc>
        <w:tc>
          <w:tcPr>
            <w:tcW w:w="1282" w:type="dxa"/>
            <w:tcBorders>
              <w:tl2br w:val="nil"/>
              <w:tr2bl w:val="nil"/>
            </w:tcBorders>
            <w:shd w:val="clear" w:color="auto" w:fill="auto"/>
            <w:vAlign w:val="center"/>
          </w:tcPr>
          <w:p w14:paraId="1B5BF19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对生产经营单位未与承包单位、承租单位签订专门的安全生产管理协议或者未在承包合同、租赁合同中明确各自的安全生产管理职责，或者未对承包单位、承租单位的安全生产统一协调、管理的处罚</w:t>
            </w:r>
          </w:p>
        </w:tc>
        <w:tc>
          <w:tcPr>
            <w:tcW w:w="1016" w:type="dxa"/>
            <w:tcBorders>
              <w:tl2br w:val="nil"/>
              <w:tr2bl w:val="nil"/>
            </w:tcBorders>
            <w:vAlign w:val="center"/>
          </w:tcPr>
          <w:p w14:paraId="5F6630D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697A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2C7EB4A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7547E717">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F41879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9FA7189">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AE63BEC">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788AC525">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第四十五条 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第一百零一条 两个以上生产经营单位在同一作业区域内进行可能危及对方安全生产的生产经营活动，未签订安全生产管理协议或者未指定专职安全生产管理人员进行安全检查与协调的，责令限期改正，可以处五万元以下的罚款，对其直接负责的主管人员和其他直接责任人员可以处一万元以下的罚款；逾期未改正的，责令停产停业。</w:t>
            </w:r>
          </w:p>
        </w:tc>
        <w:tc>
          <w:tcPr>
            <w:tcW w:w="926" w:type="dxa"/>
            <w:vMerge w:val="continue"/>
            <w:tcBorders>
              <w:tl2br w:val="nil"/>
              <w:tr2bl w:val="nil"/>
            </w:tcBorders>
            <w:vAlign w:val="center"/>
          </w:tcPr>
          <w:p w14:paraId="658EE0D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5DD97C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7CE798E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0200118000</w:t>
            </w:r>
          </w:p>
        </w:tc>
        <w:tc>
          <w:tcPr>
            <w:tcW w:w="1282" w:type="dxa"/>
            <w:tcBorders>
              <w:tl2br w:val="nil"/>
              <w:tr2bl w:val="nil"/>
            </w:tcBorders>
            <w:shd w:val="clear" w:color="auto" w:fill="auto"/>
            <w:vAlign w:val="center"/>
          </w:tcPr>
          <w:p w14:paraId="486224D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对两个以上生产经营单位在同一作业区域内进行可能危及对方安全生产的生产经营活动，未签订安全生产管理协议或者未指定专职安全生产管理人员进行安全检查与协调的处罚</w:t>
            </w:r>
          </w:p>
        </w:tc>
        <w:tc>
          <w:tcPr>
            <w:tcW w:w="1016" w:type="dxa"/>
            <w:tcBorders>
              <w:tl2br w:val="nil"/>
              <w:tr2bl w:val="nil"/>
            </w:tcBorders>
            <w:vAlign w:val="center"/>
          </w:tcPr>
          <w:p w14:paraId="4B142C9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302F0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1515041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F7E64F7">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6837E09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12AF753">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B3312ED">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6C5FD1C">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第三十九条第二款 生产经营场所和员工宿舍应当设有符合紧急疏散要求、标志明显、保持畅通的出口。禁止锁闭、封堵生产经营场所或者员工宿舍的出口。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第一百零二条 生产经营单位有下列行为之一的，责令限期改正，可以处五万元以下的罚款，对其直接负责的主管人员和其他直接责任人员可以处一万元以下的罚款;逾期未改正的，责令停产停业整顿;构成犯罪的，依照刑法有关规定追究刑事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(二)生产经营场所和员工宿舍未设有符合紧急疏散需要、标志明显、保持畅通的出口，或者锁闭、封堵生产经营场所或者员工宿舍出口的。</w:t>
            </w:r>
          </w:p>
        </w:tc>
        <w:tc>
          <w:tcPr>
            <w:tcW w:w="926" w:type="dxa"/>
            <w:vMerge w:val="continue"/>
            <w:tcBorders>
              <w:tl2br w:val="nil"/>
              <w:tr2bl w:val="nil"/>
            </w:tcBorders>
            <w:vAlign w:val="center"/>
          </w:tcPr>
          <w:p w14:paraId="564ADB0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35C88D6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3FA2006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0200119000</w:t>
            </w:r>
          </w:p>
        </w:tc>
        <w:tc>
          <w:tcPr>
            <w:tcW w:w="1282" w:type="dxa"/>
            <w:tcBorders>
              <w:tl2br w:val="nil"/>
              <w:tr2bl w:val="nil"/>
            </w:tcBorders>
            <w:shd w:val="clear" w:color="auto" w:fill="auto"/>
            <w:vAlign w:val="center"/>
          </w:tcPr>
          <w:p w14:paraId="6616C10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对生产经营单位生产经营场所和员工宿舍未设有符合紧急疏散需要、标志明显、保持畅通的出口，或者锁闭、封堵生产经营场所或者员工宿舍出口的处罚</w:t>
            </w:r>
          </w:p>
        </w:tc>
        <w:tc>
          <w:tcPr>
            <w:tcW w:w="1016" w:type="dxa"/>
            <w:tcBorders>
              <w:tl2br w:val="nil"/>
              <w:tr2bl w:val="nil"/>
            </w:tcBorders>
            <w:vAlign w:val="center"/>
          </w:tcPr>
          <w:p w14:paraId="2D150A6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438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50C273D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358B5A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9965C5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2CD4EE7">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636B07A8">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7B1FA13">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第四十九条第二款  生产经营单位不得以任何形式与从业人员订立协议，免除或者减轻其对从业人员因生产安全事故伤亡依法应承担的责任。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第一百零三条 生产经营单位与从业人员订立协议，免除或者减轻其对从业人员因生产安全事故伤亡依法应承担的责任的，该协议无效;对生产经营单位的主要负责人、个人经营的投资人处二万元以上十万元以下的罚款。</w:t>
            </w:r>
          </w:p>
        </w:tc>
        <w:tc>
          <w:tcPr>
            <w:tcW w:w="926" w:type="dxa"/>
            <w:vMerge w:val="continue"/>
            <w:tcBorders>
              <w:tl2br w:val="nil"/>
              <w:tr2bl w:val="nil"/>
            </w:tcBorders>
            <w:vAlign w:val="center"/>
          </w:tcPr>
          <w:p w14:paraId="62E3B6F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F3A560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30B438A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0200120000</w:t>
            </w:r>
          </w:p>
        </w:tc>
        <w:tc>
          <w:tcPr>
            <w:tcW w:w="1282" w:type="dxa"/>
            <w:tcBorders>
              <w:tl2br w:val="nil"/>
              <w:tr2bl w:val="nil"/>
            </w:tcBorders>
            <w:shd w:val="clear" w:color="auto" w:fill="auto"/>
            <w:vAlign w:val="center"/>
          </w:tcPr>
          <w:p w14:paraId="6CA9B4C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生产经营单位与从业人员订立协议，免除或者减轻其对从业人员因生产安全事故伤亡依法应承担的责任时，对生产经营单位主要负责人、个人经营的投资人的处罚</w:t>
            </w:r>
          </w:p>
        </w:tc>
        <w:tc>
          <w:tcPr>
            <w:tcW w:w="1016" w:type="dxa"/>
            <w:tcBorders>
              <w:tl2br w:val="nil"/>
              <w:tr2bl w:val="nil"/>
            </w:tcBorders>
            <w:vAlign w:val="center"/>
          </w:tcPr>
          <w:p w14:paraId="7E08830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999C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508B269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0BBB557">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7D37992">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D222FE3">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77F2F64">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0F0FC21">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第六十三条 生产经营单位对负有安全生产监督管理职责的部门的监督检查人员(以下统称安全生产监督检查人员)依法履行监督检查职责，应当予以配合，不得拒绝、阻挠。</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第一百零五条 违反本法规定，生产经营单位拒绝、阻碍负有安全生产监督管理职责的部门依法实施监督检查的，责令改正;拒不改正的，处二万元以上二十万元以下的罚款;对其直接负责的主管人员和其他直接责任人员处一万元以上二万元以下的罚款;构成犯罪的，依照刑法有关规定追究刑事责任。</w:t>
            </w:r>
          </w:p>
        </w:tc>
        <w:tc>
          <w:tcPr>
            <w:tcW w:w="926" w:type="dxa"/>
            <w:vMerge w:val="continue"/>
            <w:tcBorders>
              <w:tl2br w:val="nil"/>
              <w:tr2bl w:val="nil"/>
            </w:tcBorders>
            <w:vAlign w:val="center"/>
          </w:tcPr>
          <w:p w14:paraId="0D97817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722A6CB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36A121F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0200121000</w:t>
            </w:r>
          </w:p>
        </w:tc>
        <w:tc>
          <w:tcPr>
            <w:tcW w:w="1282" w:type="dxa"/>
            <w:tcBorders>
              <w:tl2br w:val="nil"/>
              <w:tr2bl w:val="nil"/>
            </w:tcBorders>
            <w:shd w:val="clear" w:color="auto" w:fill="auto"/>
            <w:vAlign w:val="center"/>
          </w:tcPr>
          <w:p w14:paraId="1D16BF5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对生产经营单位拒绝、阻碍负有安全生产监督管理职责的部门依法实施监督检查的处罚</w:t>
            </w:r>
          </w:p>
        </w:tc>
        <w:tc>
          <w:tcPr>
            <w:tcW w:w="1016" w:type="dxa"/>
            <w:tcBorders>
              <w:tl2br w:val="nil"/>
              <w:tr2bl w:val="nil"/>
            </w:tcBorders>
            <w:vAlign w:val="center"/>
          </w:tcPr>
          <w:p w14:paraId="6E72D00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494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5E92D90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28DC35F">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393996F8">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4B386DE">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2C601910">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291D316F">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【规章】《建筑业企业资质管理规定》(住房和城乡建设部令第22号)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第二十三条　企业申请建筑业企业资质升级、资质增项，在申请之日起前一年至资质许可决定作出前，有下列情形之一的，资质许可机关不予批准其建筑业企业资质升级申请和增项申请：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（七）隐瞒或谎报、拖延报告工程质量安全事故，破坏事故现场、阻碍对事故调查的；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p>
        </w:tc>
        <w:tc>
          <w:tcPr>
            <w:tcW w:w="926" w:type="dxa"/>
            <w:vMerge w:val="continue"/>
            <w:tcBorders>
              <w:tl2br w:val="nil"/>
              <w:tr2bl w:val="nil"/>
            </w:tcBorders>
            <w:vAlign w:val="center"/>
          </w:tcPr>
          <w:p w14:paraId="3590043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79FEAE4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51EC890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0200160000</w:t>
            </w:r>
          </w:p>
        </w:tc>
        <w:tc>
          <w:tcPr>
            <w:tcW w:w="1282" w:type="dxa"/>
            <w:tcBorders>
              <w:tl2br w:val="nil"/>
              <w:tr2bl w:val="nil"/>
            </w:tcBorders>
            <w:shd w:val="clear" w:color="auto" w:fill="auto"/>
            <w:vAlign w:val="center"/>
          </w:tcPr>
          <w:p w14:paraId="238BEB2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对建筑施工企业隐瞒或谎报、拖延报告工程质量安全事故，破坏事故现场、阻碍对事故调查的处罚</w:t>
            </w:r>
          </w:p>
        </w:tc>
        <w:tc>
          <w:tcPr>
            <w:tcW w:w="1016" w:type="dxa"/>
            <w:tcBorders>
              <w:tl2br w:val="nil"/>
              <w:tr2bl w:val="nil"/>
            </w:tcBorders>
            <w:vAlign w:val="center"/>
          </w:tcPr>
          <w:p w14:paraId="274F55D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1BB2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BE265D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3A7E7C9">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2815B71">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7D1B9FD">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679E9CD2">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6DF6960">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【规章】《建筑业企业资质管理规定》（住房和城乡建设部令第22号）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第二十三条　企业申请建筑业企业资质升级、资质增项，在申请之日起前一年至资质许可决定作出前，有下列情形之一的，资质许可机关不予批准其建筑业企业资质升级申请和增项申请：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（十一）发生过较大以上质量安全事故或者发生过两起以上一般质量安全事故的；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p>
        </w:tc>
        <w:tc>
          <w:tcPr>
            <w:tcW w:w="926" w:type="dxa"/>
            <w:vMerge w:val="continue"/>
            <w:tcBorders>
              <w:tl2br w:val="nil"/>
              <w:tr2bl w:val="nil"/>
            </w:tcBorders>
            <w:vAlign w:val="center"/>
          </w:tcPr>
          <w:p w14:paraId="75B3BDF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830560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2369DE2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0200163000</w:t>
            </w:r>
          </w:p>
        </w:tc>
        <w:tc>
          <w:tcPr>
            <w:tcW w:w="1282" w:type="dxa"/>
            <w:tcBorders>
              <w:tl2br w:val="nil"/>
              <w:tr2bl w:val="nil"/>
            </w:tcBorders>
            <w:shd w:val="clear" w:color="auto" w:fill="auto"/>
            <w:vAlign w:val="center"/>
          </w:tcPr>
          <w:p w14:paraId="1D7196D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对建筑施工企业发生过较大以上质量安全事故或者发生过两起以上一般质量安全事故的处罚</w:t>
            </w:r>
          </w:p>
        </w:tc>
        <w:tc>
          <w:tcPr>
            <w:tcW w:w="1016" w:type="dxa"/>
            <w:tcBorders>
              <w:tl2br w:val="nil"/>
              <w:tr2bl w:val="nil"/>
            </w:tcBorders>
            <w:vAlign w:val="center"/>
          </w:tcPr>
          <w:p w14:paraId="2123577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5B537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46FDF7C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686ED20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31D7393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DF79BFB">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E3D7A17">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926F02E">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【行政法规】《安全生产许可证条例》(国务院令第397号)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第十九条　违反本条例规定，未取得安全生产许可证擅自进行生产的，责令停止生产，没收违法所得，并处10万元以上50万元以下的罚款；造成重大事故或者其他严重后果，构成犯罪的，依法追究刑事责任。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第二十二条　本条例施行前已经进行生产的企业，应当自本条例施行之日起1年内，依照本条例的规定向安全生产许可证颁发管理机关申请办理安全生产许可证；逾期不办理安全生产许可证，或者经审查不符合本条例规定的安全生产条件，未取得安全生产许可证，继续进行生产的，依照本条例第十九条的规定处罚。</w:t>
            </w:r>
          </w:p>
        </w:tc>
        <w:tc>
          <w:tcPr>
            <w:tcW w:w="926" w:type="dxa"/>
            <w:vMerge w:val="continue"/>
            <w:tcBorders>
              <w:tl2br w:val="nil"/>
              <w:tr2bl w:val="nil"/>
            </w:tcBorders>
            <w:vAlign w:val="center"/>
          </w:tcPr>
          <w:p w14:paraId="6AAB3EB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7ADA95B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05AA12B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0200273000</w:t>
            </w:r>
          </w:p>
        </w:tc>
        <w:tc>
          <w:tcPr>
            <w:tcW w:w="1282" w:type="dxa"/>
            <w:tcBorders>
              <w:tl2br w:val="nil"/>
              <w:tr2bl w:val="nil"/>
            </w:tcBorders>
            <w:shd w:val="clear" w:color="auto" w:fill="auto"/>
            <w:vAlign w:val="center"/>
          </w:tcPr>
          <w:p w14:paraId="3703655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对《安全生产许可证条例》施行前已经进行生产的企业在规定的期限内未取得安全生产许可证继续进行生产的处罚</w:t>
            </w:r>
          </w:p>
        </w:tc>
        <w:tc>
          <w:tcPr>
            <w:tcW w:w="1016" w:type="dxa"/>
            <w:tcBorders>
              <w:tl2br w:val="nil"/>
              <w:tr2bl w:val="nil"/>
            </w:tcBorders>
            <w:vAlign w:val="center"/>
          </w:tcPr>
          <w:p w14:paraId="5996A86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2C9C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14D7202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2566159">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E1055D3">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5F201B4">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54A4752F">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32B84312">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【行政法规】《安全生产许可证条例》(国务院令第397号)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第七条　企业进行生产前，应当依照本条例的规定向安全生产许可证颁发管理机关申请领取安全生产许可证，并提供本条例第六条规定的相关文件、资料。安全生产许可证颁发管理机关应当自收到申请之日起45日内审查完毕，经审查符合本条例规定的安全生产条件的，颁发安全生产许可证；不符合本条例规定的安全生产条件的，不予颁发安全生产许可证，书面通知企业并说明理由。</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第十九条　违反本条例规定，未取得安全生产许可证擅自进行生产的，责令停止生产，没收违法所得，并处10万元以上50万元以下的罚款；造成重大事故或者其他严重后果，构成犯罪的，依法追究刑事责任。</w:t>
            </w:r>
          </w:p>
        </w:tc>
        <w:tc>
          <w:tcPr>
            <w:tcW w:w="926" w:type="dxa"/>
            <w:vMerge w:val="continue"/>
            <w:tcBorders>
              <w:tl2br w:val="nil"/>
              <w:tr2bl w:val="nil"/>
            </w:tcBorders>
            <w:vAlign w:val="center"/>
          </w:tcPr>
          <w:p w14:paraId="1ABCCBC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4BDFE8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2481F4A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0200274000</w:t>
            </w:r>
          </w:p>
        </w:tc>
        <w:tc>
          <w:tcPr>
            <w:tcW w:w="1282" w:type="dxa"/>
            <w:tcBorders>
              <w:tl2br w:val="nil"/>
              <w:tr2bl w:val="nil"/>
            </w:tcBorders>
            <w:shd w:val="clear" w:color="auto" w:fill="auto"/>
            <w:vAlign w:val="center"/>
          </w:tcPr>
          <w:p w14:paraId="044962D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对建筑施工企业未取得安全生产许可证擅自从事建筑施工活动的处罚</w:t>
            </w:r>
          </w:p>
        </w:tc>
        <w:tc>
          <w:tcPr>
            <w:tcW w:w="1016" w:type="dxa"/>
            <w:tcBorders>
              <w:tl2br w:val="nil"/>
              <w:tr2bl w:val="nil"/>
            </w:tcBorders>
            <w:vAlign w:val="center"/>
          </w:tcPr>
          <w:p w14:paraId="3D46300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DA9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1045E6C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D4BABE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915DA1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0938941">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39887B65">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68DE828E">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【法律】《安全生产法》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第一百零八条 生产经营单位不具备本法和其他有关法律、行政法规和国家标准或者行业标准规定的安全生产条件，经停产停业整顿仍不具备安全生产条件的，予以关闭;有关部门应当依法吊销其有关证照。</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【行政法规】《安全生产许可证条例》(国务院令第397号)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第九条第一款　安全生产许可证的有效期为3年。安全生产许可证有效期满需要延期的，企业应当于期满前3个月向原安全生产许可证颁发管理机关办理延期手续。</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第十九条　违反本条例规定，未取得安全生产许可证擅自进行生产的，责令停止生产，没收违法所得，并处10万元以上50万元以下的罚款；造成重大事故或者其他严重后果，构成犯罪的，依法追究刑事责任。</w:t>
            </w:r>
          </w:p>
        </w:tc>
        <w:tc>
          <w:tcPr>
            <w:tcW w:w="926" w:type="dxa"/>
            <w:vMerge w:val="continue"/>
            <w:tcBorders>
              <w:tl2br w:val="nil"/>
              <w:tr2bl w:val="nil"/>
            </w:tcBorders>
            <w:vAlign w:val="center"/>
          </w:tcPr>
          <w:p w14:paraId="76A1BDC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590409D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6B9A6A9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0200275000</w:t>
            </w:r>
          </w:p>
        </w:tc>
        <w:tc>
          <w:tcPr>
            <w:tcW w:w="1282" w:type="dxa"/>
            <w:tcBorders>
              <w:tl2br w:val="nil"/>
              <w:tr2bl w:val="nil"/>
            </w:tcBorders>
            <w:shd w:val="clear" w:color="auto" w:fill="auto"/>
            <w:vAlign w:val="center"/>
          </w:tcPr>
          <w:p w14:paraId="5F66365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对建筑施工企业在安全生产许可证有效期满未办理延期手续，继续从事建筑施工活动的处罚</w:t>
            </w:r>
          </w:p>
        </w:tc>
        <w:tc>
          <w:tcPr>
            <w:tcW w:w="1016" w:type="dxa"/>
            <w:tcBorders>
              <w:tl2br w:val="nil"/>
              <w:tr2bl w:val="nil"/>
            </w:tcBorders>
            <w:vAlign w:val="center"/>
          </w:tcPr>
          <w:p w14:paraId="657782A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C809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7F07B0A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C6BEEF1">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3426AF1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2E4FED9">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6CD69FD9">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C6A8012">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【行政法规】《安全生产许可证条例》(国务院令第397号)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第十三条　企业不得转让、冒用安全生产许可证或者使用伪造的安全生产许可证。</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第十九条　违反本条例规定，未取得安全生产许可证擅自进行生产的，责令停止生产，没收违法所得，并处10万元以上50万元以下的罚款；造成重大事故或者其他严重后果，构成犯罪的，依法追究刑事责任。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第二十一条　违反本条例规定，转让安全生产许可证的，没收违法所得，处10万元以上50万元以下的罚款，并吊销其安全生产许可证；构成犯罪的，依法追究刑事责任；接受转让的，依照本条例第十九条的规定处罚。</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冒用安全生产许可证或者使用伪造的安全生产许可证的，依照本条例第十九条的规定处罚。</w:t>
            </w:r>
          </w:p>
        </w:tc>
        <w:tc>
          <w:tcPr>
            <w:tcW w:w="926" w:type="dxa"/>
            <w:vMerge w:val="continue"/>
            <w:tcBorders>
              <w:tl2br w:val="nil"/>
              <w:tr2bl w:val="nil"/>
            </w:tcBorders>
            <w:vAlign w:val="center"/>
          </w:tcPr>
          <w:p w14:paraId="7476024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786FD1D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6C106B0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0200276000</w:t>
            </w:r>
          </w:p>
        </w:tc>
        <w:tc>
          <w:tcPr>
            <w:tcW w:w="1282" w:type="dxa"/>
            <w:tcBorders>
              <w:tl2br w:val="nil"/>
              <w:tr2bl w:val="nil"/>
            </w:tcBorders>
            <w:shd w:val="clear" w:color="auto" w:fill="auto"/>
            <w:vAlign w:val="center"/>
          </w:tcPr>
          <w:p w14:paraId="3041899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对建筑施工企业转让或接受转让安全生产许可证的处罚</w:t>
            </w:r>
          </w:p>
        </w:tc>
        <w:tc>
          <w:tcPr>
            <w:tcW w:w="1016" w:type="dxa"/>
            <w:tcBorders>
              <w:tl2br w:val="nil"/>
              <w:tr2bl w:val="nil"/>
            </w:tcBorders>
            <w:vAlign w:val="center"/>
          </w:tcPr>
          <w:p w14:paraId="4751BDD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33C1C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0C895F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0523B03">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50A8A01">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7ACF143">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5CCDFE9C">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6B546E01">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【行政法规】《安全生产许可证条例》(国务院令第397号)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第十九条　违反本条例规定，未取得安全生产许可证擅自进行生产的，责令停止生产，没收违法所得，并处10万元以上50万元以下的罚款；造成重大事故或者其他严重后果，构成犯罪的，依法追究刑事责任。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第二十一条第二款　冒用安全生产许可证或者使用伪造的安全生产许可证的，依照本条例第十九条的规定处罚。</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【规章】《建筑施工企业安全生产许可证管理规定》（建设部令第128号）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第二十四条　违反本规定，建筑施工企业未取得安全生产许可证擅自从事建筑施工活动的，责令其在建项目停止施工，没收违法所得，并处10万元以上50万元以下的罚款；造成重大安全事故或者其他严重后果，构成犯罪的，依法追究刑事责任。</w:t>
            </w:r>
          </w:p>
        </w:tc>
        <w:tc>
          <w:tcPr>
            <w:tcW w:w="926" w:type="dxa"/>
            <w:vMerge w:val="continue"/>
            <w:tcBorders>
              <w:tl2br w:val="nil"/>
              <w:tr2bl w:val="nil"/>
            </w:tcBorders>
            <w:vAlign w:val="center"/>
          </w:tcPr>
          <w:p w14:paraId="20E281F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14F8A48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735138B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0200277000</w:t>
            </w:r>
          </w:p>
        </w:tc>
        <w:tc>
          <w:tcPr>
            <w:tcW w:w="1282" w:type="dxa"/>
            <w:tcBorders>
              <w:tl2br w:val="nil"/>
              <w:tr2bl w:val="nil"/>
            </w:tcBorders>
            <w:shd w:val="clear" w:color="auto" w:fill="auto"/>
            <w:vAlign w:val="center"/>
          </w:tcPr>
          <w:p w14:paraId="5A46300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对建筑施工企业冒用安全生产许可证或者使用伪造的安全生产许可证的处罚</w:t>
            </w:r>
          </w:p>
        </w:tc>
        <w:tc>
          <w:tcPr>
            <w:tcW w:w="1016" w:type="dxa"/>
            <w:tcBorders>
              <w:tl2br w:val="nil"/>
              <w:tr2bl w:val="nil"/>
            </w:tcBorders>
            <w:vAlign w:val="center"/>
          </w:tcPr>
          <w:p w14:paraId="1F9BB6F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618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EAB293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128AF20">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2B3830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3401326">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6B99064E">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53DE71B">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第五条　出租单位在建筑起重机械首次出租前，自购建筑起重机械的使用单位在建筑起重机械首次安装前，应当持建筑起重机械特种设备制造许可证、产品合格证和制造监督检验证明到本单位工商注册所在地县级以上地方人民政府建设主管部门办理备案。</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第二十八条　违反本规定，出租单位、自购建筑起重机械的使用单位，有下列行为之一的，由县级以上地方人民政府建设主管部门责令限期改正，予以警告，并处以5000元以上1万元以下罚款：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（一）未按照规定办理备案的；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（二）未按照规定办理注销手续的；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（三）未按照规定建立建筑起重机械安全技术档案的。</w:t>
            </w:r>
          </w:p>
        </w:tc>
        <w:tc>
          <w:tcPr>
            <w:tcW w:w="926" w:type="dxa"/>
            <w:vMerge w:val="continue"/>
            <w:tcBorders>
              <w:tl2br w:val="nil"/>
              <w:tr2bl w:val="nil"/>
            </w:tcBorders>
            <w:vAlign w:val="center"/>
          </w:tcPr>
          <w:p w14:paraId="23AF2A0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026DDF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103EFE8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0200279000</w:t>
            </w:r>
          </w:p>
        </w:tc>
        <w:tc>
          <w:tcPr>
            <w:tcW w:w="1282" w:type="dxa"/>
            <w:tcBorders>
              <w:tl2br w:val="nil"/>
              <w:tr2bl w:val="nil"/>
            </w:tcBorders>
            <w:shd w:val="clear" w:color="auto" w:fill="auto"/>
            <w:vAlign w:val="center"/>
          </w:tcPr>
          <w:p w14:paraId="17E77A1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对建筑起重机械出租单位、自购使用单位未按照规定办理备案的处罚</w:t>
            </w:r>
          </w:p>
        </w:tc>
        <w:tc>
          <w:tcPr>
            <w:tcW w:w="1016" w:type="dxa"/>
            <w:tcBorders>
              <w:tl2br w:val="nil"/>
              <w:tr2bl w:val="nil"/>
            </w:tcBorders>
            <w:vAlign w:val="center"/>
          </w:tcPr>
          <w:p w14:paraId="1627AC0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0CF5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03AA3F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EE316B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C783D92">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B783D06">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71BFE8D">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6A0BC8A5">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第七条　有下列情形之一的建筑起重机械，不得出租、使用：</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（一）属国家明令淘汰或者禁止使用的；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（二）超过安全技术标准或者制造厂家规定的使用年限的；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（三）经检验达不到安全技术标准规定的。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第八条　建筑起重机械有本规定第七条第（一）、（二）、（三）项情形之一的，出租单位或者自购建筑起重机械的使用单位应当予以报废，并向原备案机关办理注销手续。</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第二十八条　违反本规定，出租单位、自购建筑起重机械的使用单位，有下列行为之一的，由县级以上地方人民政府建设主管部门责令限期改正，予以警告，并处以5000元以上1万元以下罚款：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（一）未按照规定办理备案的；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（二）未按照规定办理注销手续的；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（三）未按照规定建立建筑起重机械安全技术档案的。</w:t>
            </w:r>
          </w:p>
        </w:tc>
        <w:tc>
          <w:tcPr>
            <w:tcW w:w="926" w:type="dxa"/>
            <w:vMerge w:val="continue"/>
            <w:tcBorders>
              <w:tl2br w:val="nil"/>
              <w:tr2bl w:val="nil"/>
            </w:tcBorders>
            <w:vAlign w:val="center"/>
          </w:tcPr>
          <w:p w14:paraId="2F55DA0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3CC97D6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12D1AC0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0200280000</w:t>
            </w:r>
          </w:p>
        </w:tc>
        <w:tc>
          <w:tcPr>
            <w:tcW w:w="1282" w:type="dxa"/>
            <w:tcBorders>
              <w:tl2br w:val="nil"/>
              <w:tr2bl w:val="nil"/>
            </w:tcBorders>
            <w:shd w:val="clear" w:color="auto" w:fill="auto"/>
            <w:vAlign w:val="center"/>
          </w:tcPr>
          <w:p w14:paraId="76BC934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对建筑起重机械出租单位、自购使用单位未按照规定办理注销手续的处罚</w:t>
            </w:r>
          </w:p>
        </w:tc>
        <w:tc>
          <w:tcPr>
            <w:tcW w:w="1016" w:type="dxa"/>
            <w:tcBorders>
              <w:tl2br w:val="nil"/>
              <w:tr2bl w:val="nil"/>
            </w:tcBorders>
            <w:vAlign w:val="center"/>
          </w:tcPr>
          <w:p w14:paraId="3F533F0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124F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A815D4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ABD8E3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562C080">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83C397B">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50D3174">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01AB9FD">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第七条　有下列情形之一的建筑起重机械，不得出租、使用：</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（四）没有完整安全技术档案的。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第八条　建筑起重机械有本规定第七条第（一）、（二）、（三）项情形之一的，出租单位或者自购建筑起重机械的使用单位应当予以报废，并向原备案机关办理注销手续。</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第九条　出租单位、自购建筑起重机械的使用单位，应当建立建筑起重机械安全技术档案。</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建筑起重机械安全技术档案应当包括以下资料：</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（一）购销合同、制造许可证、产品合格证、制造监督检验证明、安装使用说明书、备案证明等原始资料；</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（二）定期检验报告、定期自行检查记录、定期维护保养记录、维修和技术改造记录、运行故障和生产安全事故记录、累计运转记录等运行资料；</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（三）历次安装验收资料。</w:t>
            </w:r>
          </w:p>
        </w:tc>
        <w:tc>
          <w:tcPr>
            <w:tcW w:w="926" w:type="dxa"/>
            <w:vMerge w:val="continue"/>
            <w:tcBorders>
              <w:tl2br w:val="nil"/>
              <w:tr2bl w:val="nil"/>
            </w:tcBorders>
            <w:vAlign w:val="center"/>
          </w:tcPr>
          <w:p w14:paraId="2A18349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2E8A694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3C094AB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0200281000</w:t>
            </w:r>
          </w:p>
        </w:tc>
        <w:tc>
          <w:tcPr>
            <w:tcW w:w="1282" w:type="dxa"/>
            <w:tcBorders>
              <w:tl2br w:val="nil"/>
              <w:tr2bl w:val="nil"/>
            </w:tcBorders>
            <w:shd w:val="clear" w:color="auto" w:fill="auto"/>
            <w:vAlign w:val="center"/>
          </w:tcPr>
          <w:p w14:paraId="5C94F59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对建筑起重机械出租单位、自购使用单位未按照规定建立建筑起重机械安全技术档案的处罚</w:t>
            </w:r>
          </w:p>
        </w:tc>
        <w:tc>
          <w:tcPr>
            <w:tcW w:w="1016" w:type="dxa"/>
            <w:tcBorders>
              <w:tl2br w:val="nil"/>
              <w:tr2bl w:val="nil"/>
            </w:tcBorders>
            <w:vAlign w:val="center"/>
          </w:tcPr>
          <w:p w14:paraId="637A04C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159D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61B6BF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6D4E5258">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66AC8C7">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A40EFCD">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3052D81">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7E288CB2">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第十二条　安装单位应当履行下列安全职责：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（二）按照安全技术标准及安装使用说明书等检查建筑起重机械及现场施工条件；</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第二十九条　违反本规定，安装单位有下列行为之一的，由县级以上地方人民政府建设主管部门责令限期改正，予以警告，并处以5000元以上3万元以下罚款：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（一）未履行第十二条第（二）、（四）、（五）项安全职责的；</w:t>
            </w:r>
          </w:p>
        </w:tc>
        <w:tc>
          <w:tcPr>
            <w:tcW w:w="926" w:type="dxa"/>
            <w:vMerge w:val="continue"/>
            <w:tcBorders>
              <w:tl2br w:val="nil"/>
              <w:tr2bl w:val="nil"/>
            </w:tcBorders>
            <w:vAlign w:val="center"/>
          </w:tcPr>
          <w:p w14:paraId="1F51439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11B273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1C12C76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0200282000</w:t>
            </w:r>
          </w:p>
        </w:tc>
        <w:tc>
          <w:tcPr>
            <w:tcW w:w="1282" w:type="dxa"/>
            <w:tcBorders>
              <w:tl2br w:val="nil"/>
              <w:tr2bl w:val="nil"/>
            </w:tcBorders>
            <w:shd w:val="clear" w:color="auto" w:fill="auto"/>
            <w:vAlign w:val="center"/>
          </w:tcPr>
          <w:p w14:paraId="0A630A2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对建筑起重机械安装单位未按照安全技术标准及安装使用说明书等检查建筑起重机械及现场施工条件的处罚</w:t>
            </w:r>
          </w:p>
        </w:tc>
        <w:tc>
          <w:tcPr>
            <w:tcW w:w="1016" w:type="dxa"/>
            <w:tcBorders>
              <w:tl2br w:val="nil"/>
              <w:tr2bl w:val="nil"/>
            </w:tcBorders>
            <w:vAlign w:val="center"/>
          </w:tcPr>
          <w:p w14:paraId="7F596F5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6C79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5127A01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D3B000D">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0EAD3A3">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D1846F0">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4A2B67D">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3E208290">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第十二条　安装单位应当履行下列安全职责：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（四）制定建筑起重机械安装、拆卸工程生产安全事故应急救援预案；</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第二十九条　违反本规定，安装单位有下列行为之一的，由县级以上地方人民政府建设主管部门责令限期改正，予以警告，并处以5000元以上3万元以下罚款：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（一）未履行第十二条第（二）、（四）、（五）项安全职责的；</w:t>
            </w:r>
          </w:p>
        </w:tc>
        <w:tc>
          <w:tcPr>
            <w:tcW w:w="926" w:type="dxa"/>
            <w:vMerge w:val="continue"/>
            <w:tcBorders>
              <w:tl2br w:val="nil"/>
              <w:tr2bl w:val="nil"/>
            </w:tcBorders>
            <w:vAlign w:val="center"/>
          </w:tcPr>
          <w:p w14:paraId="6A5194C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5204C97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3762945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0200283000</w:t>
            </w:r>
          </w:p>
        </w:tc>
        <w:tc>
          <w:tcPr>
            <w:tcW w:w="1282" w:type="dxa"/>
            <w:tcBorders>
              <w:tl2br w:val="nil"/>
              <w:tr2bl w:val="nil"/>
            </w:tcBorders>
            <w:shd w:val="clear" w:color="auto" w:fill="auto"/>
            <w:vAlign w:val="center"/>
          </w:tcPr>
          <w:p w14:paraId="0059983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对建筑起重机械安装单位未制定建筑起重机械安装、拆卸工程生产安全事故应急救援预案的处罚</w:t>
            </w:r>
          </w:p>
        </w:tc>
        <w:tc>
          <w:tcPr>
            <w:tcW w:w="1016" w:type="dxa"/>
            <w:tcBorders>
              <w:tl2br w:val="nil"/>
              <w:tr2bl w:val="nil"/>
            </w:tcBorders>
            <w:vAlign w:val="center"/>
          </w:tcPr>
          <w:p w14:paraId="5DBB22B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8D8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49282E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815E0C7">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307436B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5D56A5B">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34E746B">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68D5CF9">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第十二条　安装单位应当履行下列安全职责：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（五）将建筑起重机械安装、拆卸工程专项施工方案，安装、拆卸人员名单，安装、拆卸时间等材料报施工总承包单位和监理单位审核后，告知工程所在地县级以上地方人民政府建设主管部门。</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第二十九条　违反本规定，安装单位有下列行为之一的，由县级以上地方人民政府建设主管部门责令限期改正，予以警告，并处以5000元以上3万元以下罚款：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（一）未履行第十二条第（二）、（四）、（五）项安全职责的。</w:t>
            </w:r>
          </w:p>
        </w:tc>
        <w:tc>
          <w:tcPr>
            <w:tcW w:w="926" w:type="dxa"/>
            <w:vMerge w:val="continue"/>
            <w:tcBorders>
              <w:tl2br w:val="nil"/>
              <w:tr2bl w:val="nil"/>
            </w:tcBorders>
            <w:vAlign w:val="center"/>
          </w:tcPr>
          <w:p w14:paraId="3E5667A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5F2057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1F07387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0200284000</w:t>
            </w:r>
          </w:p>
        </w:tc>
        <w:tc>
          <w:tcPr>
            <w:tcW w:w="1282" w:type="dxa"/>
            <w:tcBorders>
              <w:tl2br w:val="nil"/>
              <w:tr2bl w:val="nil"/>
            </w:tcBorders>
            <w:shd w:val="clear" w:color="auto" w:fill="auto"/>
            <w:vAlign w:val="center"/>
          </w:tcPr>
          <w:p w14:paraId="35FA9F0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起重机械安装单位未将建筑起重机械安装、拆卸工程专项施工方案，安装、拆卸人员名单，安装、拆卸时间等材料报施工总承包单位和监理单位审核后，告知工程所在地县级以上地方人民政府建设主管部门的处罚</w:t>
            </w:r>
          </w:p>
        </w:tc>
        <w:tc>
          <w:tcPr>
            <w:tcW w:w="1016" w:type="dxa"/>
            <w:tcBorders>
              <w:tl2br w:val="nil"/>
              <w:tr2bl w:val="nil"/>
            </w:tcBorders>
            <w:vAlign w:val="center"/>
          </w:tcPr>
          <w:p w14:paraId="66EF7F8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6C29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79966A7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75E4E9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3819BC92">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D93F659">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4187490">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2434D668">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第十五条　安装单位应当建立建筑起重机械安装、拆卸工程档案。</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建筑起重机械安装、拆卸工程档案应当包括以下资料：</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（一）安装、拆卸合同及安全协议书；</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（二）安装、拆卸工程专项施工方案；</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（三）安全施工技术交底的有关资料；</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（四）安装工程验收资料；</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（五）安装、拆卸工程生产安全事故应急救援预案。</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第二十九条　违反本规定，安装单位有下列行为之一的，由县级以上地方人民政府建设主管部门责令限期改正，予以警告，并处以5000元以上3万元以下罚款：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（一）未履行第十二条第（二）、（四）、（五）项安全职责的；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（二）未按照规定建立建筑起重机械安装、拆卸工程档案的；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（三）未按照建筑起重机械安装、拆卸工程专项施工方案及安全操作规程组织安装、拆卸作业的。</w:t>
            </w:r>
          </w:p>
        </w:tc>
        <w:tc>
          <w:tcPr>
            <w:tcW w:w="926" w:type="dxa"/>
            <w:vMerge w:val="continue"/>
            <w:tcBorders>
              <w:tl2br w:val="nil"/>
              <w:tr2bl w:val="nil"/>
            </w:tcBorders>
            <w:vAlign w:val="center"/>
          </w:tcPr>
          <w:p w14:paraId="4693EC5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324320D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5516C45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0200285000</w:t>
            </w:r>
          </w:p>
        </w:tc>
        <w:tc>
          <w:tcPr>
            <w:tcW w:w="1282" w:type="dxa"/>
            <w:tcBorders>
              <w:tl2br w:val="nil"/>
              <w:tr2bl w:val="nil"/>
            </w:tcBorders>
            <w:shd w:val="clear" w:color="auto" w:fill="auto"/>
            <w:vAlign w:val="center"/>
          </w:tcPr>
          <w:p w14:paraId="3390241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对建筑起重机械安装单位未按照规定建立建筑起重机械安装、拆卸工程档案的处罚</w:t>
            </w:r>
          </w:p>
        </w:tc>
        <w:tc>
          <w:tcPr>
            <w:tcW w:w="1016" w:type="dxa"/>
            <w:tcBorders>
              <w:tl2br w:val="nil"/>
              <w:tr2bl w:val="nil"/>
            </w:tcBorders>
            <w:vAlign w:val="center"/>
          </w:tcPr>
          <w:p w14:paraId="6FD23E9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3A008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FB9625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A3F55E4">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0BB152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52C44122">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3C2962EE">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3A3075EE">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第十三条第一款　安装单位应当按照建筑起重机械安装、拆卸工程专项施工方案及安全操作规程组织安装、拆卸作业。</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第二十九条　违反本规定，安装单位有下列行为之一的，由县级以上地方人民政府建设主管部门责令限期改正，予以警告，并处以5000元以上3万元以下罚款：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（三）未按照建筑起重机械安装、拆卸工程专项施工方案及安全操作规程组织安装、拆卸作业的。</w:t>
            </w:r>
          </w:p>
        </w:tc>
        <w:tc>
          <w:tcPr>
            <w:tcW w:w="926" w:type="dxa"/>
            <w:vMerge w:val="continue"/>
            <w:tcBorders>
              <w:tl2br w:val="nil"/>
              <w:tr2bl w:val="nil"/>
            </w:tcBorders>
            <w:vAlign w:val="center"/>
          </w:tcPr>
          <w:p w14:paraId="349CD32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17E3F27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5B2D860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0200286000</w:t>
            </w:r>
          </w:p>
        </w:tc>
        <w:tc>
          <w:tcPr>
            <w:tcW w:w="1282" w:type="dxa"/>
            <w:tcBorders>
              <w:tl2br w:val="nil"/>
              <w:tr2bl w:val="nil"/>
            </w:tcBorders>
            <w:shd w:val="clear" w:color="auto" w:fill="auto"/>
            <w:vAlign w:val="center"/>
          </w:tcPr>
          <w:p w14:paraId="0BD85C5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对建筑起重机械安装单位未按照建筑起重机械安装、拆卸工程专项施工方案及安全操作规程组织安装、拆卸作业的处罚</w:t>
            </w:r>
          </w:p>
        </w:tc>
        <w:tc>
          <w:tcPr>
            <w:tcW w:w="1016" w:type="dxa"/>
            <w:tcBorders>
              <w:tl2br w:val="nil"/>
              <w:tr2bl w:val="nil"/>
            </w:tcBorders>
            <w:vAlign w:val="center"/>
          </w:tcPr>
          <w:p w14:paraId="7AA174D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B38D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2F4CD6F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1736A2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64154A7F">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41B992C1">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3A87C4B6">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0E49099">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第十八条　使用单位应当履行下列安全职责：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（一）根据不同施工阶段、周围环境以及季节、气候的变化，对建筑起重机械采取相应的安全防护措施；</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第三十条　违反本规定，使用单位有下列行为之一的，由县级以上地方人民政府建设主管部门责令限期改正，予以警告，并处以5000元以上3万元以下罚款：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（一）未履行第十八条第（一）、（二）、（四）、（六）项安全职责的。</w:t>
            </w:r>
          </w:p>
        </w:tc>
        <w:tc>
          <w:tcPr>
            <w:tcW w:w="926" w:type="dxa"/>
            <w:vMerge w:val="continue"/>
            <w:tcBorders>
              <w:tl2br w:val="nil"/>
              <w:tr2bl w:val="nil"/>
            </w:tcBorders>
            <w:vAlign w:val="center"/>
          </w:tcPr>
          <w:p w14:paraId="24149CB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1BCCFC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6BC4FEA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0200287000</w:t>
            </w:r>
          </w:p>
        </w:tc>
        <w:tc>
          <w:tcPr>
            <w:tcW w:w="1282" w:type="dxa"/>
            <w:tcBorders>
              <w:tl2br w:val="nil"/>
              <w:tr2bl w:val="nil"/>
            </w:tcBorders>
            <w:shd w:val="clear" w:color="auto" w:fill="auto"/>
            <w:vAlign w:val="center"/>
          </w:tcPr>
          <w:p w14:paraId="71985E5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对建筑起重机械使用单位未根据不同施工阶段、周围环境以及季节、气候的变化，对建筑起重机械采取相应的安全防护措施的处罚</w:t>
            </w:r>
          </w:p>
        </w:tc>
        <w:tc>
          <w:tcPr>
            <w:tcW w:w="1016" w:type="dxa"/>
            <w:tcBorders>
              <w:tl2br w:val="nil"/>
              <w:tr2bl w:val="nil"/>
            </w:tcBorders>
            <w:vAlign w:val="center"/>
          </w:tcPr>
          <w:p w14:paraId="7D1F3CA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72B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2EA730F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F68F8D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A4EC33F">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41E2781">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8CE15D2">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BA18DC7">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第十八条　使用单位应当履行下列安全职责：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（二）制定建筑起重机械生产安全事故应急救援预案。</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第三十条　违反本规定，使用单位有下列行为之一的，由县级以上地方人民政府建设主管部门责令限期改正，予以警告，并处以5000元以上3万元以下罚款：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（一）未履行第十八条第（一）、（二）、（四）、（六）项安全职责的。</w:t>
            </w:r>
          </w:p>
        </w:tc>
        <w:tc>
          <w:tcPr>
            <w:tcW w:w="926" w:type="dxa"/>
            <w:vMerge w:val="continue"/>
            <w:tcBorders>
              <w:tl2br w:val="nil"/>
              <w:tr2bl w:val="nil"/>
            </w:tcBorders>
            <w:vAlign w:val="center"/>
          </w:tcPr>
          <w:p w14:paraId="281B013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436520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54E313B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0200288000</w:t>
            </w:r>
          </w:p>
        </w:tc>
        <w:tc>
          <w:tcPr>
            <w:tcW w:w="1282" w:type="dxa"/>
            <w:tcBorders>
              <w:tl2br w:val="nil"/>
              <w:tr2bl w:val="nil"/>
            </w:tcBorders>
            <w:shd w:val="clear" w:color="auto" w:fill="auto"/>
            <w:vAlign w:val="center"/>
          </w:tcPr>
          <w:p w14:paraId="00106FE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建筑起重机械使用单位未制定建筑起重机械生产安全事故应急救援预案的处罚</w:t>
            </w:r>
          </w:p>
        </w:tc>
        <w:tc>
          <w:tcPr>
            <w:tcW w:w="1016" w:type="dxa"/>
            <w:tcBorders>
              <w:tl2br w:val="nil"/>
              <w:tr2bl w:val="nil"/>
            </w:tcBorders>
            <w:vAlign w:val="center"/>
          </w:tcPr>
          <w:p w14:paraId="2C6FE40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A5B3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43AF1A7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7B872ED4">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B874520">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DF7F728">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28FA456F">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ED9A346">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第十八条　使用单位应当履行下列安全职责：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（四）设置相应的设备管理机构或者配备专职的设备管理人员。</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第三十条　违反本规定，使用单位有下列行为之一的，由县级以上地方人民政府建设主管部门责令限期改正，予以警告，并处以5000元以上3万元以下罚款：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（一）未履行第十八条第（一）、（二）、（四）、（六）项安全职责的。</w:t>
            </w:r>
          </w:p>
        </w:tc>
        <w:tc>
          <w:tcPr>
            <w:tcW w:w="926" w:type="dxa"/>
            <w:vMerge w:val="continue"/>
            <w:tcBorders>
              <w:tl2br w:val="nil"/>
              <w:tr2bl w:val="nil"/>
            </w:tcBorders>
            <w:vAlign w:val="center"/>
          </w:tcPr>
          <w:p w14:paraId="1D348B3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267C3E5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500EE86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0200289000</w:t>
            </w:r>
          </w:p>
        </w:tc>
        <w:tc>
          <w:tcPr>
            <w:tcW w:w="1282" w:type="dxa"/>
            <w:tcBorders>
              <w:tl2br w:val="nil"/>
              <w:tr2bl w:val="nil"/>
            </w:tcBorders>
            <w:shd w:val="clear" w:color="auto" w:fill="auto"/>
            <w:vAlign w:val="center"/>
          </w:tcPr>
          <w:p w14:paraId="7BFB26E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对建筑起重机械使用单位未设置相应的设备管理机构或者配备专职的设备管理人员的处罚</w:t>
            </w:r>
          </w:p>
        </w:tc>
        <w:tc>
          <w:tcPr>
            <w:tcW w:w="1016" w:type="dxa"/>
            <w:tcBorders>
              <w:tl2br w:val="nil"/>
              <w:tr2bl w:val="nil"/>
            </w:tcBorders>
            <w:vAlign w:val="center"/>
          </w:tcPr>
          <w:p w14:paraId="6163F0D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28C26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7094BB0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F1CCD0F">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2625E92">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4271FEDC">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563472C9">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3DE7CD2A">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第十八条　使用单位应当履行下列安全职责：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（六）建筑起重机械出现故障或者发生异常情况的，立即停止使用，消除故障和事故隐患后，方可重新投入使用。</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第三十条　违反本规定，使用单位有下列行为之一的，由县级以上地方人民政府建设主管部门责令限期改正，予以警告，并处以5000元以上3万元以下罚款：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（一）未履行第十八条第（一）、（二）、（四）、（六）项安全职责的。</w:t>
            </w:r>
          </w:p>
        </w:tc>
        <w:tc>
          <w:tcPr>
            <w:tcW w:w="926" w:type="dxa"/>
            <w:vMerge w:val="continue"/>
            <w:tcBorders>
              <w:tl2br w:val="nil"/>
              <w:tr2bl w:val="nil"/>
            </w:tcBorders>
            <w:vAlign w:val="center"/>
          </w:tcPr>
          <w:p w14:paraId="11C2F00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8D7843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093B316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0200290000</w:t>
            </w:r>
          </w:p>
        </w:tc>
        <w:tc>
          <w:tcPr>
            <w:tcW w:w="1282" w:type="dxa"/>
            <w:tcBorders>
              <w:tl2br w:val="nil"/>
              <w:tr2bl w:val="nil"/>
            </w:tcBorders>
            <w:shd w:val="clear" w:color="auto" w:fill="auto"/>
            <w:vAlign w:val="center"/>
          </w:tcPr>
          <w:p w14:paraId="7230A1C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对建筑起重机械使用单位未在建筑起重机械出现故障或者发生异常情况的，立即停止使用，消除故障和事故隐患后，方重新投入使用的处罚</w:t>
            </w:r>
          </w:p>
        </w:tc>
        <w:tc>
          <w:tcPr>
            <w:tcW w:w="1016" w:type="dxa"/>
            <w:tcBorders>
              <w:tl2br w:val="nil"/>
              <w:tr2bl w:val="nil"/>
            </w:tcBorders>
            <w:vAlign w:val="center"/>
          </w:tcPr>
          <w:p w14:paraId="37AC821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2FA8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275E734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0B140B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E92DA39">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FECBA2A">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82C9D22">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FFBEA48">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第十八条　使用单位应当履行下列安全职责：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（五）指定专职设备管理人员、专职安全生产管理人员进行现场监督检查。</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第三十条　违反本规定，使用单位有下列行为之一的，由县级以上地方人民政府建设主管部门责令限期改正，予以警告，并处以5000元以上3万元以下罚款：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（二）未指定专职设备管理人员进行现场监督检查的。</w:t>
            </w:r>
          </w:p>
        </w:tc>
        <w:tc>
          <w:tcPr>
            <w:tcW w:w="926" w:type="dxa"/>
            <w:vMerge w:val="continue"/>
            <w:tcBorders>
              <w:tl2br w:val="nil"/>
              <w:tr2bl w:val="nil"/>
            </w:tcBorders>
            <w:vAlign w:val="center"/>
          </w:tcPr>
          <w:p w14:paraId="4010CEB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683E71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0DA668E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0200291000</w:t>
            </w:r>
          </w:p>
        </w:tc>
        <w:tc>
          <w:tcPr>
            <w:tcW w:w="1282" w:type="dxa"/>
            <w:tcBorders>
              <w:tl2br w:val="nil"/>
              <w:tr2bl w:val="nil"/>
            </w:tcBorders>
            <w:shd w:val="clear" w:color="auto" w:fill="auto"/>
            <w:vAlign w:val="center"/>
          </w:tcPr>
          <w:p w14:paraId="345F549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对建筑起重机械使用单位未指定专职设备管理人员进行现场监督检查的处罚</w:t>
            </w:r>
          </w:p>
        </w:tc>
        <w:tc>
          <w:tcPr>
            <w:tcW w:w="1016" w:type="dxa"/>
            <w:tcBorders>
              <w:tl2br w:val="nil"/>
              <w:tr2bl w:val="nil"/>
            </w:tcBorders>
            <w:vAlign w:val="center"/>
          </w:tcPr>
          <w:p w14:paraId="4DF2C20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24D31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2612DDA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145A23F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B684DB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3A9201D">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3B2CECC0">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73F159DD">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第二十条第三款　禁止擅自在建筑起重机械上安装非原制造厂制造的标准节和附着装置。</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第三十条　违反本规定，使用单位有下列行为之一的，由县级以上地方人民政府建设主管部门责令限期改正，予以警告，并处以5000元以上3万元以下罚款：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（三）擅自在建筑起重机械上安装非原制造厂制造的标准节和附着装置的。</w:t>
            </w:r>
          </w:p>
        </w:tc>
        <w:tc>
          <w:tcPr>
            <w:tcW w:w="926" w:type="dxa"/>
            <w:vMerge w:val="continue"/>
            <w:tcBorders>
              <w:tl2br w:val="nil"/>
              <w:tr2bl w:val="nil"/>
            </w:tcBorders>
            <w:vAlign w:val="center"/>
          </w:tcPr>
          <w:p w14:paraId="6669D16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7033B96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4F721F5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0200292000</w:t>
            </w:r>
          </w:p>
        </w:tc>
        <w:tc>
          <w:tcPr>
            <w:tcW w:w="1282" w:type="dxa"/>
            <w:tcBorders>
              <w:tl2br w:val="nil"/>
              <w:tr2bl w:val="nil"/>
            </w:tcBorders>
            <w:shd w:val="clear" w:color="auto" w:fill="auto"/>
            <w:vAlign w:val="center"/>
          </w:tcPr>
          <w:p w14:paraId="17DB223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对建筑起重机械使用单位擅自在建筑起重机械上安装非原制造厂制造的标准节和附着装置的处罚</w:t>
            </w:r>
          </w:p>
        </w:tc>
        <w:tc>
          <w:tcPr>
            <w:tcW w:w="1016" w:type="dxa"/>
            <w:tcBorders>
              <w:tl2br w:val="nil"/>
              <w:tr2bl w:val="nil"/>
            </w:tcBorders>
            <w:vAlign w:val="center"/>
          </w:tcPr>
          <w:p w14:paraId="6B05E4A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A47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5B05DB6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951F13F">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8F7B9B0">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E2993AA">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9359814">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7CA90DC5">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第二十一条　施工总承包单位应当履行下列安全职责：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（一）向安装单位提供拟安装设备位置的基础施工资料，确保建筑起重机械进场安装、拆卸所需的施工条件。</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第三十一条　违反本规定，施工总承包单位未履行第二十一条第（一）、（三）、（四）、（五）、（七）项安全职责的，由县级以上地方人民政府建设主管部门责令限期改正，予以警告，并处以5000元以上3万元以下罚款。</w:t>
            </w:r>
          </w:p>
        </w:tc>
        <w:tc>
          <w:tcPr>
            <w:tcW w:w="926" w:type="dxa"/>
            <w:vMerge w:val="continue"/>
            <w:tcBorders>
              <w:tl2br w:val="nil"/>
              <w:tr2bl w:val="nil"/>
            </w:tcBorders>
            <w:vAlign w:val="center"/>
          </w:tcPr>
          <w:p w14:paraId="13A31AD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7234D2B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6A30579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0200293000</w:t>
            </w:r>
          </w:p>
        </w:tc>
        <w:tc>
          <w:tcPr>
            <w:tcW w:w="1282" w:type="dxa"/>
            <w:tcBorders>
              <w:tl2br w:val="nil"/>
              <w:tr2bl w:val="nil"/>
            </w:tcBorders>
            <w:shd w:val="clear" w:color="auto" w:fill="auto"/>
            <w:vAlign w:val="center"/>
          </w:tcPr>
          <w:p w14:paraId="1411EFC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对施工总承包单位未向安装单位提供拟安装设备位置的基础施工资料，确保建筑起重机械进场安装、拆卸所需的施工条件的处罚</w:t>
            </w:r>
          </w:p>
        </w:tc>
        <w:tc>
          <w:tcPr>
            <w:tcW w:w="1016" w:type="dxa"/>
            <w:tcBorders>
              <w:tl2br w:val="nil"/>
              <w:tr2bl w:val="nil"/>
            </w:tcBorders>
            <w:vAlign w:val="center"/>
          </w:tcPr>
          <w:p w14:paraId="489F73B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078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7A0C7E0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08D5F8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85E1900">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517DC3D1">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F1AB972">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47F630F">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第二十一条　施工总承包单位应当履行下列安全职责：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（三）审核安装单位、使用单位的资质证书、安全生产许可证和特种作业人员的特种作业操作资格证书。</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第三十一条　违反本规定，施工总承包单位未履行第二十一条第（一）、（三）、（四）、（五）、（七）项安全职责的，由县级以上地方人民政府建设主管部门责令限期改正，予以警告，并处以5000元以上3万元以下罚款。</w:t>
            </w:r>
          </w:p>
        </w:tc>
        <w:tc>
          <w:tcPr>
            <w:tcW w:w="926" w:type="dxa"/>
            <w:vMerge w:val="continue"/>
            <w:tcBorders>
              <w:tl2br w:val="nil"/>
              <w:tr2bl w:val="nil"/>
            </w:tcBorders>
            <w:vAlign w:val="center"/>
          </w:tcPr>
          <w:p w14:paraId="5563732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49616F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682008C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0200294000</w:t>
            </w:r>
          </w:p>
        </w:tc>
        <w:tc>
          <w:tcPr>
            <w:tcW w:w="1282" w:type="dxa"/>
            <w:tcBorders>
              <w:tl2br w:val="nil"/>
              <w:tr2bl w:val="nil"/>
            </w:tcBorders>
            <w:shd w:val="clear" w:color="auto" w:fill="auto"/>
            <w:vAlign w:val="center"/>
          </w:tcPr>
          <w:p w14:paraId="114A8AB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对施工总承包单位未审核安装单位、使用单位的资质证书、安全生产许可证和特种作业人员的特种作业操作资格证书的处罚</w:t>
            </w:r>
          </w:p>
        </w:tc>
        <w:tc>
          <w:tcPr>
            <w:tcW w:w="1016" w:type="dxa"/>
            <w:tcBorders>
              <w:tl2br w:val="nil"/>
              <w:tr2bl w:val="nil"/>
            </w:tcBorders>
            <w:vAlign w:val="center"/>
          </w:tcPr>
          <w:p w14:paraId="73CD997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6ECB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23B44B6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02793BD">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62E20F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579AE67">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48C88D5">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E85D04B">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第二十一条　施工总承包单位应当履行下列安全职责：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（四）审核安装单位制定的建筑起重机械安装、拆卸工程专项施工方案和生产安全事故应急救援预案。</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第三十一条　违反本规定，施工总承包单位未履行第二十一条第（一）、（三）、（四）、（五）、（七）项安全职责的，由县级以上地方人民政府建设主管部门责令限期改正，予以警告，并处以5000元以上3万元以下罚款。</w:t>
            </w:r>
          </w:p>
        </w:tc>
        <w:tc>
          <w:tcPr>
            <w:tcW w:w="926" w:type="dxa"/>
            <w:vMerge w:val="continue"/>
            <w:tcBorders>
              <w:tl2br w:val="nil"/>
              <w:tr2bl w:val="nil"/>
            </w:tcBorders>
            <w:vAlign w:val="center"/>
          </w:tcPr>
          <w:p w14:paraId="6DE2407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3530A89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339F15C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0200295000</w:t>
            </w:r>
          </w:p>
        </w:tc>
        <w:tc>
          <w:tcPr>
            <w:tcW w:w="1282" w:type="dxa"/>
            <w:tcBorders>
              <w:tl2br w:val="nil"/>
              <w:tr2bl w:val="nil"/>
            </w:tcBorders>
            <w:shd w:val="clear" w:color="auto" w:fill="auto"/>
            <w:vAlign w:val="center"/>
          </w:tcPr>
          <w:p w14:paraId="27F3CDB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对施工总承包单位未审核安装单位制定的建筑起重机械安装、拆卸工程专项施工方案和生产安全事故应急救援预案的处罚</w:t>
            </w:r>
          </w:p>
        </w:tc>
        <w:tc>
          <w:tcPr>
            <w:tcW w:w="1016" w:type="dxa"/>
            <w:tcBorders>
              <w:tl2br w:val="nil"/>
              <w:tr2bl w:val="nil"/>
            </w:tcBorders>
            <w:vAlign w:val="center"/>
          </w:tcPr>
          <w:p w14:paraId="55F6DCE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3B0C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7BF2B41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7BDCB07">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37DE644">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4C719890">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DA6359C">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4B70009">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第二十一条　施工总承包单位应当履行下列安全职责：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（五）审核使用单位制定的建筑起重机械生产安全事故应急救援预案。</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第三十一条　违反本规定，施工总承包单位未履行第二十一条第（一）、（三）、（四）、（五）、（七）项安全职责的，由县级以上地方人民政府建设主管部门责令限期改正，予以警告，并处以5000元以上3万元以下罚款。</w:t>
            </w:r>
          </w:p>
        </w:tc>
        <w:tc>
          <w:tcPr>
            <w:tcW w:w="926" w:type="dxa"/>
            <w:vMerge w:val="continue"/>
            <w:tcBorders>
              <w:tl2br w:val="nil"/>
              <w:tr2bl w:val="nil"/>
            </w:tcBorders>
            <w:vAlign w:val="center"/>
          </w:tcPr>
          <w:p w14:paraId="1DE7BD3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768095C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3D52608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0200296000</w:t>
            </w:r>
          </w:p>
        </w:tc>
        <w:tc>
          <w:tcPr>
            <w:tcW w:w="1282" w:type="dxa"/>
            <w:tcBorders>
              <w:tl2br w:val="nil"/>
              <w:tr2bl w:val="nil"/>
            </w:tcBorders>
            <w:shd w:val="clear" w:color="auto" w:fill="auto"/>
            <w:vAlign w:val="center"/>
          </w:tcPr>
          <w:p w14:paraId="4E638CE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对施工总承包单位未审核使用单位制定的建筑起重机械生产安全事故应急救援预案的处罚</w:t>
            </w:r>
          </w:p>
        </w:tc>
        <w:tc>
          <w:tcPr>
            <w:tcW w:w="1016" w:type="dxa"/>
            <w:tcBorders>
              <w:tl2br w:val="nil"/>
              <w:tr2bl w:val="nil"/>
            </w:tcBorders>
            <w:vAlign w:val="center"/>
          </w:tcPr>
          <w:p w14:paraId="0579DBC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3857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50F6D58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2601A1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42EA814">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C2CB310">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61F5A85A">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8CCAE7F">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第二十一条　施工总承包单位应当履行下列安全职责：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（七）施工现场有多台塔式起重机作业时，应当组织制定并实施防止塔式起重机相互碰撞的安全措施。</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第三十一条　违反本规定，施工总承包单位未履行第二十一条第（一）、（三）、（四）、（五）、（七）项安全职责的，由县级以上地方人民政府建设主管部门责令限期改正，予以警告，并处以5000元以上3万元以下罚款。</w:t>
            </w:r>
          </w:p>
        </w:tc>
        <w:tc>
          <w:tcPr>
            <w:tcW w:w="926" w:type="dxa"/>
            <w:vMerge w:val="continue"/>
            <w:tcBorders>
              <w:tl2br w:val="nil"/>
              <w:tr2bl w:val="nil"/>
            </w:tcBorders>
            <w:shd w:val="clear" w:color="auto" w:fill="auto"/>
            <w:vAlign w:val="center"/>
          </w:tcPr>
          <w:p w14:paraId="7A2628C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5D557A3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06A4A51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0200297000</w:t>
            </w:r>
          </w:p>
        </w:tc>
        <w:tc>
          <w:tcPr>
            <w:tcW w:w="1282" w:type="dxa"/>
            <w:tcBorders>
              <w:tl2br w:val="nil"/>
              <w:tr2bl w:val="nil"/>
            </w:tcBorders>
            <w:shd w:val="clear" w:color="auto" w:fill="auto"/>
            <w:vAlign w:val="center"/>
          </w:tcPr>
          <w:p w14:paraId="140885B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对施工总承包单位未在施工现场有多台塔式起重机作业时，组织制定并实施防止塔式起重机相互碰撞的安全措施的处罚</w:t>
            </w:r>
          </w:p>
        </w:tc>
        <w:tc>
          <w:tcPr>
            <w:tcW w:w="1016" w:type="dxa"/>
            <w:tcBorders>
              <w:tl2br w:val="nil"/>
              <w:tr2bl w:val="nil"/>
            </w:tcBorders>
            <w:vAlign w:val="center"/>
          </w:tcPr>
          <w:p w14:paraId="3AC56C4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2B63E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47642F2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740CD1C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C78DA61">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F06A3FD">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65A7FD94">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63855620">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第二十二条　监理单位应当履行下列安全职责：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（一）审核建筑起重机械特种设备制造许可证、产品合格证、制造监督检验证明、备案证明等文件；</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第三十二条 违反本规定，监理单位未履行第二十二条第（一）、（二）、（四）、（五）项安全职责的，由县级以上地方人民政府建设主管部门责令限期改正，予以警告，并处以5000元以上3万元以下罚款。</w:t>
            </w:r>
          </w:p>
        </w:tc>
        <w:tc>
          <w:tcPr>
            <w:tcW w:w="926" w:type="dxa"/>
            <w:vMerge w:val="continue"/>
            <w:tcBorders>
              <w:tl2br w:val="nil"/>
              <w:tr2bl w:val="nil"/>
            </w:tcBorders>
            <w:shd w:val="clear" w:color="auto" w:fill="auto"/>
            <w:vAlign w:val="center"/>
          </w:tcPr>
          <w:p w14:paraId="494E595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048B920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718977E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0200301000</w:t>
            </w:r>
          </w:p>
        </w:tc>
        <w:tc>
          <w:tcPr>
            <w:tcW w:w="1282" w:type="dxa"/>
            <w:tcBorders>
              <w:tl2br w:val="nil"/>
              <w:tr2bl w:val="nil"/>
            </w:tcBorders>
            <w:shd w:val="clear" w:color="auto" w:fill="auto"/>
            <w:vAlign w:val="center"/>
          </w:tcPr>
          <w:p w14:paraId="26EC43E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对监理单位未审核建筑起重机械特种设备制造许可证、产品合格证、制造监督检验证明、备案证明等文件的处罚</w:t>
            </w:r>
          </w:p>
        </w:tc>
        <w:tc>
          <w:tcPr>
            <w:tcW w:w="1016" w:type="dxa"/>
            <w:tcBorders>
              <w:tl2br w:val="nil"/>
              <w:tr2bl w:val="nil"/>
            </w:tcBorders>
            <w:vAlign w:val="center"/>
          </w:tcPr>
          <w:p w14:paraId="23225EB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739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B758B9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20AEA23">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67500B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6CE5AD5">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353A76F8">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6A80FEA">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第二十二条　监理单位应当履行下列安全职责：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（二）审核建筑起重机械安装单位、使用单位的资质证书、安全生产许可证和特种作业人员的特种作业操作资格证书；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第三十二条 违反本规定，监理单位未履行第二十二条第（一）、（二）、（四）、（五）项安全职责的，由县级以上地方人民政府建设主管部门责令限期改正，予以警告，并处以5000元以上3万元以下罚款。</w:t>
            </w:r>
          </w:p>
        </w:tc>
        <w:tc>
          <w:tcPr>
            <w:tcW w:w="926" w:type="dxa"/>
            <w:vMerge w:val="continue"/>
            <w:tcBorders>
              <w:tl2br w:val="nil"/>
              <w:tr2bl w:val="nil"/>
            </w:tcBorders>
            <w:shd w:val="clear" w:color="auto" w:fill="auto"/>
            <w:vAlign w:val="center"/>
          </w:tcPr>
          <w:p w14:paraId="3C4548A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51A4D92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76E5E59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0200302000</w:t>
            </w:r>
          </w:p>
        </w:tc>
        <w:tc>
          <w:tcPr>
            <w:tcW w:w="1282" w:type="dxa"/>
            <w:tcBorders>
              <w:tl2br w:val="nil"/>
              <w:tr2bl w:val="nil"/>
            </w:tcBorders>
            <w:shd w:val="clear" w:color="auto" w:fill="auto"/>
            <w:vAlign w:val="center"/>
          </w:tcPr>
          <w:p w14:paraId="6239878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对监理单位未审核建筑起重机械安装单位、使用单位的资质证书、安全生产许可证和特种作业人员的特种作业操作资格证书的处罚</w:t>
            </w:r>
          </w:p>
        </w:tc>
        <w:tc>
          <w:tcPr>
            <w:tcW w:w="1016" w:type="dxa"/>
            <w:tcBorders>
              <w:tl2br w:val="nil"/>
              <w:tr2bl w:val="nil"/>
            </w:tcBorders>
            <w:vAlign w:val="center"/>
          </w:tcPr>
          <w:p w14:paraId="47C2F15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48E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4F3A7A7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7B0B26FD">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FD69F7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3F1B5A9">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3FFC947D">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E48C495">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第二十二条　监理单位应当履行下列安全职责：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（四）监督安装单位执行建筑起重机械安装、拆卸工程专项施工方案情况；</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第三十二条 违反本规定，监理单位未履行第二十二条第（一）、（二）、（四）、（五）项安全职责的，由县级以上地方人民政府建设主管部门责令限期改正，予以警告，并处以5000元以上3万元以下罚款。</w:t>
            </w:r>
          </w:p>
        </w:tc>
        <w:tc>
          <w:tcPr>
            <w:tcW w:w="926" w:type="dxa"/>
            <w:vMerge w:val="continue"/>
            <w:tcBorders>
              <w:tl2br w:val="nil"/>
              <w:tr2bl w:val="nil"/>
            </w:tcBorders>
            <w:shd w:val="clear" w:color="auto" w:fill="auto"/>
            <w:vAlign w:val="center"/>
          </w:tcPr>
          <w:p w14:paraId="48A4F21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19F3464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510524B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0200303000</w:t>
            </w:r>
          </w:p>
        </w:tc>
        <w:tc>
          <w:tcPr>
            <w:tcW w:w="1282" w:type="dxa"/>
            <w:tcBorders>
              <w:tl2br w:val="nil"/>
              <w:tr2bl w:val="nil"/>
            </w:tcBorders>
            <w:shd w:val="clear" w:color="auto" w:fill="auto"/>
            <w:vAlign w:val="center"/>
          </w:tcPr>
          <w:p w14:paraId="50C206C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对监理单位未监督安装单位执行建筑起重机械安装、拆卸工程专项施工方案情况的处罚</w:t>
            </w:r>
          </w:p>
        </w:tc>
        <w:tc>
          <w:tcPr>
            <w:tcW w:w="1016" w:type="dxa"/>
            <w:tcBorders>
              <w:tl2br w:val="nil"/>
              <w:tr2bl w:val="nil"/>
            </w:tcBorders>
            <w:vAlign w:val="center"/>
          </w:tcPr>
          <w:p w14:paraId="7A6CE54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943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1CF3FCE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1F449783">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103EB7F">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4387375E">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57F7C490">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5F927C00">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第二十二条　监理单位应当履行下列安全职责：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（五）监督检查建筑起重机械的使用情况；</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第三十二条 违反本规定，监理单位未履行第二十二条第（一）、（二）、（四）、（五）项安全职责的，由县级以上地方人民政府建设主管部门责令限期改正，予以警告，并处以5000元以上3万元以下罚款。</w:t>
            </w:r>
          </w:p>
        </w:tc>
        <w:tc>
          <w:tcPr>
            <w:tcW w:w="926" w:type="dxa"/>
            <w:vMerge w:val="continue"/>
            <w:tcBorders>
              <w:tl2br w:val="nil"/>
              <w:tr2bl w:val="nil"/>
            </w:tcBorders>
            <w:shd w:val="clear" w:color="auto" w:fill="auto"/>
            <w:vAlign w:val="center"/>
          </w:tcPr>
          <w:p w14:paraId="6B9638A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7C7CF18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2DAF5CA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0200304000</w:t>
            </w:r>
          </w:p>
        </w:tc>
        <w:tc>
          <w:tcPr>
            <w:tcW w:w="1282" w:type="dxa"/>
            <w:tcBorders>
              <w:tl2br w:val="nil"/>
              <w:tr2bl w:val="nil"/>
            </w:tcBorders>
            <w:shd w:val="clear" w:color="auto" w:fill="auto"/>
            <w:vAlign w:val="center"/>
          </w:tcPr>
          <w:p w14:paraId="017A1D1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对监理单位未监督检查建筑起重机械的使用情况的处罚</w:t>
            </w:r>
          </w:p>
        </w:tc>
        <w:tc>
          <w:tcPr>
            <w:tcW w:w="1016" w:type="dxa"/>
            <w:tcBorders>
              <w:tl2br w:val="nil"/>
              <w:tr2bl w:val="nil"/>
            </w:tcBorders>
            <w:vAlign w:val="center"/>
          </w:tcPr>
          <w:p w14:paraId="5F23622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5B4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B489D8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CC7EBB2">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BDA09D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53514263">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F6E3545">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505A447">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第二十三条第一款　依法发包给两个及两个以上施工单位的工程，不同施工单位在同一施工现场使用多台塔式起重机作业时，建设单位应当协调组织制定防止塔式起重机相互碰撞的安全措施。</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第三十三条　违反本规定，建设单位有下列行为之一的，由县级以上地方人民政府建设主管部门责令限期改正，予以警告，并处以5000元以上3万元以下罚款；逾期未改的，责令停止施工：</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（一）未按照规定协调组织制定防止多台塔式起重机相互碰撞的安全措施的；</w:t>
            </w:r>
          </w:p>
        </w:tc>
        <w:tc>
          <w:tcPr>
            <w:tcW w:w="926" w:type="dxa"/>
            <w:vMerge w:val="continue"/>
            <w:tcBorders>
              <w:tl2br w:val="nil"/>
              <w:tr2bl w:val="nil"/>
            </w:tcBorders>
            <w:shd w:val="clear" w:color="auto" w:fill="auto"/>
            <w:vAlign w:val="center"/>
          </w:tcPr>
          <w:p w14:paraId="7CDEC0C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4F77429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3B3580C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0200305000</w:t>
            </w:r>
          </w:p>
        </w:tc>
        <w:tc>
          <w:tcPr>
            <w:tcW w:w="1282" w:type="dxa"/>
            <w:tcBorders>
              <w:tl2br w:val="nil"/>
              <w:tr2bl w:val="nil"/>
            </w:tcBorders>
            <w:shd w:val="clear" w:color="auto" w:fill="auto"/>
            <w:vAlign w:val="center"/>
          </w:tcPr>
          <w:p w14:paraId="3B42066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对建设单位未按照规定协调组织制定防止多台塔式起重机相互碰撞的安全措施的处罚</w:t>
            </w:r>
          </w:p>
        </w:tc>
        <w:tc>
          <w:tcPr>
            <w:tcW w:w="1016" w:type="dxa"/>
            <w:tcBorders>
              <w:tl2br w:val="nil"/>
              <w:tr2bl w:val="nil"/>
            </w:tcBorders>
            <w:vAlign w:val="center"/>
          </w:tcPr>
          <w:p w14:paraId="098FA58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6DC3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2D9E019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4BCE60B3">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89D5CB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F8570B9">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E3119DA">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337247F">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第二十三条第二款　安装单位、使用单位拒不整改生产安全事故隐患的，建设单位接到监理单位报告后，应当责令安装单位、使用单位立即停工整改。</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第三十三条　违反本规定，建设单位有下列行为之一的，由县级以上地方人民政府建设主管部门责令限期改正，予以警告，并处以5000元以上3万元以下罚款；逾期未改的，责令停止施工：</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（二）接到监理单位报告后，未责令安装单位、使用单位立即停工整改的。</w:t>
            </w:r>
          </w:p>
        </w:tc>
        <w:tc>
          <w:tcPr>
            <w:tcW w:w="926" w:type="dxa"/>
            <w:vMerge w:val="continue"/>
            <w:tcBorders>
              <w:tl2br w:val="nil"/>
              <w:tr2bl w:val="nil"/>
            </w:tcBorders>
            <w:shd w:val="clear" w:color="auto" w:fill="auto"/>
            <w:vAlign w:val="center"/>
          </w:tcPr>
          <w:p w14:paraId="31B4B83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0493288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1B8A704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0200306000</w:t>
            </w:r>
          </w:p>
        </w:tc>
        <w:tc>
          <w:tcPr>
            <w:tcW w:w="1282" w:type="dxa"/>
            <w:tcBorders>
              <w:tl2br w:val="nil"/>
              <w:tr2bl w:val="nil"/>
            </w:tcBorders>
            <w:shd w:val="clear" w:color="auto" w:fill="auto"/>
            <w:vAlign w:val="center"/>
          </w:tcPr>
          <w:p w14:paraId="7C54898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对建设单位接到监理单位报告后，未责令安装单位、使用单位立即停工整改的处罚</w:t>
            </w:r>
          </w:p>
        </w:tc>
        <w:tc>
          <w:tcPr>
            <w:tcW w:w="1016" w:type="dxa"/>
            <w:tcBorders>
              <w:tl2br w:val="nil"/>
              <w:tr2bl w:val="nil"/>
            </w:tcBorders>
            <w:vAlign w:val="center"/>
          </w:tcPr>
          <w:p w14:paraId="30E8152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42AA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0DE237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90093A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2387928">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EB575FB">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316128C3">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48BD2B7">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w:t>
            </w:r>
            <w:r>
              <w:rPr>
                <w:rFonts w:hint="eastAsia" w:ascii="仿宋_GB2312" w:hAnsi="仿宋_GB2312" w:eastAsia="仿宋_GB2312" w:cs="仿宋_GB2312"/>
                <w:b w:val="0"/>
                <w:bCs w:val="0"/>
                <w:color w:val="000000" w:themeColor="text1"/>
                <w:sz w:val="21"/>
                <w:szCs w:val="21"/>
                <w:lang w:eastAsia="zh-CN"/>
                <w14:textFill>
                  <w14:solidFill>
                    <w14:schemeClr w14:val="tx1"/>
                  </w14:solidFill>
                </w14:textFill>
              </w:rPr>
              <w:t>华</w:t>
            </w:r>
            <w:r>
              <w:rPr>
                <w:rFonts w:hint="eastAsia" w:ascii="仿宋_GB2312" w:hAnsi="仿宋_GB2312" w:eastAsia="仿宋_GB2312" w:cs="仿宋_GB2312"/>
                <w:b w:val="0"/>
                <w:bCs w:val="0"/>
                <w:color w:val="000000" w:themeColor="text1"/>
                <w:sz w:val="21"/>
                <w:szCs w:val="21"/>
                <w14:textFill>
                  <w14:solidFill>
                    <w14:schemeClr w14:val="tx1"/>
                  </w14:solidFill>
                </w14:textFill>
              </w:rPr>
              <w:t>人民共和国建筑法》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第七十一条第一款　建筑施工企业违反本法规定，对建筑安全事故隐患不采取措施予以消除的，责令改正，可以处以罚款；情节严重的，责令停业整顿，降低资质等级或者吊销资质证书；构成犯罪的，依法追究刑事责任。</w:t>
            </w:r>
          </w:p>
        </w:tc>
        <w:tc>
          <w:tcPr>
            <w:tcW w:w="926" w:type="dxa"/>
            <w:vMerge w:val="continue"/>
            <w:tcBorders>
              <w:tl2br w:val="nil"/>
              <w:tr2bl w:val="nil"/>
            </w:tcBorders>
            <w:shd w:val="clear" w:color="auto" w:fill="auto"/>
            <w:vAlign w:val="center"/>
          </w:tcPr>
          <w:p w14:paraId="1C88306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58A0AA0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5672F43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0200307000</w:t>
            </w:r>
          </w:p>
        </w:tc>
        <w:tc>
          <w:tcPr>
            <w:tcW w:w="1282" w:type="dxa"/>
            <w:tcBorders>
              <w:tl2br w:val="nil"/>
              <w:tr2bl w:val="nil"/>
            </w:tcBorders>
            <w:shd w:val="clear" w:color="auto" w:fill="auto"/>
            <w:vAlign w:val="center"/>
          </w:tcPr>
          <w:p w14:paraId="56ECF05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对建筑施工企业对建筑安全事故隐患不采取措施予以消除的处罚</w:t>
            </w:r>
          </w:p>
        </w:tc>
        <w:tc>
          <w:tcPr>
            <w:tcW w:w="1016" w:type="dxa"/>
            <w:tcBorders>
              <w:tl2br w:val="nil"/>
              <w:tr2bl w:val="nil"/>
            </w:tcBorders>
            <w:vAlign w:val="center"/>
          </w:tcPr>
          <w:p w14:paraId="0B347E8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A85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7CD2D4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659FDD5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3C3B156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30BAF29">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2F306187">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2FF9C75F">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【规章】《建筑施工企业主要负责人、项目负责人和专职安全生产管理人员安全生产管理规定》（住房和城乡建设部令第17号）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第二十八条　“安管人员”涂改、倒卖、出租、出借或者以其他形式非法转让安全生产考核合格证书的，由县级以上地方人民政府住房城乡建设主管部门给予警告，并处1000元以上5000元以下的罚款。</w:t>
            </w:r>
          </w:p>
        </w:tc>
        <w:tc>
          <w:tcPr>
            <w:tcW w:w="926" w:type="dxa"/>
            <w:vMerge w:val="continue"/>
            <w:tcBorders>
              <w:tl2br w:val="nil"/>
              <w:tr2bl w:val="nil"/>
            </w:tcBorders>
            <w:shd w:val="clear" w:color="auto" w:fill="auto"/>
            <w:vAlign w:val="center"/>
          </w:tcPr>
          <w:p w14:paraId="1D6DECC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6A3361B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096F3F7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0200352000</w:t>
            </w:r>
          </w:p>
        </w:tc>
        <w:tc>
          <w:tcPr>
            <w:tcW w:w="1282" w:type="dxa"/>
            <w:tcBorders>
              <w:tl2br w:val="nil"/>
              <w:tr2bl w:val="nil"/>
            </w:tcBorders>
            <w:shd w:val="clear" w:color="auto" w:fill="auto"/>
            <w:vAlign w:val="center"/>
          </w:tcPr>
          <w:p w14:paraId="5D690C6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对“安管人员”涂改、倒卖、出租、出借或者以其他形式非法转让安全生产考核合格证书的处罚</w:t>
            </w:r>
          </w:p>
        </w:tc>
        <w:tc>
          <w:tcPr>
            <w:tcW w:w="1016" w:type="dxa"/>
            <w:tcBorders>
              <w:tl2br w:val="nil"/>
              <w:tr2bl w:val="nil"/>
            </w:tcBorders>
            <w:vAlign w:val="center"/>
          </w:tcPr>
          <w:p w14:paraId="175AAE2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59C0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7E4A5B1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D2180C0">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6BFF879">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096BC86">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25B1F9D9">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246B42CA">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【规章】《建筑施工企业主要负责人、项目负责人和专职安全生产管理人员安全生产管理规定》（住房和城乡建设部令第17号）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第二十九条　建筑施工企业未按规定开展“安管人员”安全生产教育培训考核，或者未按规定如实将考核情况记入安全生产教育培训档案的，由县级以上地方人民政府住房城乡建设主管部门责令限期改正，并处2万元以下的罚款。</w:t>
            </w:r>
          </w:p>
        </w:tc>
        <w:tc>
          <w:tcPr>
            <w:tcW w:w="926" w:type="dxa"/>
            <w:vMerge w:val="continue"/>
            <w:tcBorders>
              <w:tl2br w:val="nil"/>
              <w:tr2bl w:val="nil"/>
            </w:tcBorders>
            <w:shd w:val="clear" w:color="auto" w:fill="auto"/>
            <w:vAlign w:val="center"/>
          </w:tcPr>
          <w:p w14:paraId="5A9054A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5A80205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720A8F6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0200353000</w:t>
            </w:r>
          </w:p>
        </w:tc>
        <w:tc>
          <w:tcPr>
            <w:tcW w:w="1282" w:type="dxa"/>
            <w:tcBorders>
              <w:tl2br w:val="nil"/>
              <w:tr2bl w:val="nil"/>
            </w:tcBorders>
            <w:shd w:val="clear" w:color="auto" w:fill="auto"/>
            <w:vAlign w:val="center"/>
          </w:tcPr>
          <w:p w14:paraId="5BFDD2D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对建筑施工企业未按规定开展“安管人员”安全生产教育培训考核，或者未按规定如实将考核情况记入安全生产教育培训档案的处罚</w:t>
            </w:r>
          </w:p>
        </w:tc>
        <w:tc>
          <w:tcPr>
            <w:tcW w:w="1016" w:type="dxa"/>
            <w:tcBorders>
              <w:tl2br w:val="nil"/>
              <w:tr2bl w:val="nil"/>
            </w:tcBorders>
            <w:vAlign w:val="center"/>
          </w:tcPr>
          <w:p w14:paraId="0BE290A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45A6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1D5E01B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8B9E181">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BE3CC5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8ECBD75">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3857804E">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79D776E">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【规章】《建筑施工企业主要负责人、项目负责人和专职安全生产管理人员安全生产管理规定》（住房和城乡建设部令第17号）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第三十条　建筑施工企业有下列行为之一的，由县级以上人民政府住房城乡建设主管部门责令限期改正；逾期未改正的，责令停业整顿，并处2万元以下的罚款；导致不具备《安全生产许可证条例》规定的安全生产条件的，应当依法暂扣或者吊销安全生产许可证：</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（一）未按规定设立安全生产管理机构的；</w:t>
            </w:r>
          </w:p>
        </w:tc>
        <w:tc>
          <w:tcPr>
            <w:tcW w:w="926" w:type="dxa"/>
            <w:vMerge w:val="continue"/>
            <w:tcBorders>
              <w:tl2br w:val="nil"/>
              <w:tr2bl w:val="nil"/>
            </w:tcBorders>
            <w:shd w:val="clear" w:color="auto" w:fill="auto"/>
            <w:vAlign w:val="center"/>
          </w:tcPr>
          <w:p w14:paraId="6ED5FC0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10B7591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43634C9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0200354000</w:t>
            </w:r>
          </w:p>
        </w:tc>
        <w:tc>
          <w:tcPr>
            <w:tcW w:w="1282" w:type="dxa"/>
            <w:tcBorders>
              <w:tl2br w:val="nil"/>
              <w:tr2bl w:val="nil"/>
            </w:tcBorders>
            <w:shd w:val="clear" w:color="auto" w:fill="auto"/>
            <w:vAlign w:val="center"/>
          </w:tcPr>
          <w:p w14:paraId="5E55F30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对建筑施工企业未按规定设立安全生产管理机构的处罚</w:t>
            </w:r>
          </w:p>
        </w:tc>
        <w:tc>
          <w:tcPr>
            <w:tcW w:w="1016" w:type="dxa"/>
            <w:tcBorders>
              <w:tl2br w:val="nil"/>
              <w:tr2bl w:val="nil"/>
            </w:tcBorders>
            <w:vAlign w:val="center"/>
          </w:tcPr>
          <w:p w14:paraId="1F29B88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6617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1B17A3E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A2A0411">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35A457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E561F7D">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53BC7E41">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32182A7">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【规章】《建筑施工企业主要负责人、项目负责人和专职安全生产管理人员安全生产管理规定》（住房和城乡建设部令第17号）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第三十二条　主要负责人、项目负责人未按规定履行安全生产管理职责的，由县级以上人民政府住房城乡建设主管部门责令限期改正;逾期未改正的，责令建筑施工企业停业整顿;造成生产安全事故或者其他严重后果的，按照《生产安全事故报告和调查处理条例》的有关规定，依法暂扣或者吊销安全生产考核合格证书;构成犯罪的，依法追究刑事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主要负责人、项目负责人有前款违法行为，尚不够刑事处罚的，处2万元以上20万元以下的罚款或者按照管理权限给予撤职处分;自刑罚执行完毕或者受处分之日起，5年内不得担任建筑施工企业的主要负责人、项目负责人。</w:t>
            </w:r>
          </w:p>
        </w:tc>
        <w:tc>
          <w:tcPr>
            <w:tcW w:w="926" w:type="dxa"/>
            <w:vMerge w:val="continue"/>
            <w:tcBorders>
              <w:tl2br w:val="nil"/>
              <w:tr2bl w:val="nil"/>
            </w:tcBorders>
            <w:shd w:val="clear" w:color="auto" w:fill="auto"/>
            <w:vAlign w:val="center"/>
          </w:tcPr>
          <w:p w14:paraId="3FE80A2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3B3815B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494376B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0200356000</w:t>
            </w:r>
          </w:p>
        </w:tc>
        <w:tc>
          <w:tcPr>
            <w:tcW w:w="1282" w:type="dxa"/>
            <w:tcBorders>
              <w:tl2br w:val="nil"/>
              <w:tr2bl w:val="nil"/>
            </w:tcBorders>
            <w:shd w:val="clear" w:color="auto" w:fill="auto"/>
            <w:vAlign w:val="center"/>
          </w:tcPr>
          <w:p w14:paraId="658D82D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对主要负责人、项目负责人未按规定履行安全生产管理职责的处罚</w:t>
            </w:r>
          </w:p>
        </w:tc>
        <w:tc>
          <w:tcPr>
            <w:tcW w:w="1016" w:type="dxa"/>
            <w:tcBorders>
              <w:tl2br w:val="nil"/>
              <w:tr2bl w:val="nil"/>
            </w:tcBorders>
            <w:vAlign w:val="center"/>
          </w:tcPr>
          <w:p w14:paraId="0B0B1FD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BD4C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53C4C8A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3A99DB8">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89AEE13">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028E934">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32ABD69B">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3F26F99B">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【行政法规】《生产安全事故报告和调查处理条例》（国务院令第493号）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第四十条 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【规章】《建筑施工企业主要负责人、项目负责人和专职安全生产管理人员安全生产管理规定》（住房和城乡建设部令第17号）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第三十三条　事故发生单位应当认真吸取事故教训，落实防范和整改措施，防止事故再次发生。防范和整改措施的落实情况应当接受工会和职工的监督。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安全生产监督管理部门和负有安全生产监督管理职责的有关部门应当对事故发生单位落实防范和整改措施的情况进行监督检查。</w:t>
            </w:r>
          </w:p>
        </w:tc>
        <w:tc>
          <w:tcPr>
            <w:tcW w:w="926" w:type="dxa"/>
            <w:vMerge w:val="continue"/>
            <w:tcBorders>
              <w:tl2br w:val="nil"/>
              <w:tr2bl w:val="nil"/>
            </w:tcBorders>
            <w:shd w:val="clear" w:color="auto" w:fill="auto"/>
            <w:vAlign w:val="center"/>
          </w:tcPr>
          <w:p w14:paraId="3A31EFC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7981F04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22DD95D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0200357000</w:t>
            </w:r>
          </w:p>
        </w:tc>
        <w:tc>
          <w:tcPr>
            <w:tcW w:w="1282" w:type="dxa"/>
            <w:tcBorders>
              <w:tl2br w:val="nil"/>
              <w:tr2bl w:val="nil"/>
            </w:tcBorders>
            <w:shd w:val="clear" w:color="auto" w:fill="auto"/>
            <w:vAlign w:val="center"/>
          </w:tcPr>
          <w:p w14:paraId="4DCF6F1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对专职安全生产管理人员未按规定履行安全生产管理职责的处罚</w:t>
            </w:r>
          </w:p>
        </w:tc>
        <w:tc>
          <w:tcPr>
            <w:tcW w:w="1016" w:type="dxa"/>
            <w:tcBorders>
              <w:tl2br w:val="nil"/>
              <w:tr2bl w:val="nil"/>
            </w:tcBorders>
            <w:shd w:val="clear" w:color="auto" w:fill="auto"/>
            <w:vAlign w:val="center"/>
          </w:tcPr>
          <w:p w14:paraId="5B1520F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2DB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3FC8B9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5E7113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101152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119FE24">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966521A">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5ACEE388">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【规章】《建筑起重机械安全监督管理规定》（建设部令第166号）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第十二条：安装单位应当履行下列安全职责：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（二）按照安全技术标准及安装使用说明书等检查建筑起重机械及现场施工条件；</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（四）制定建筑起重机械安装、拆卸工程生产安全事故应急救援预案；</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（五）将建筑起重机械安装、拆卸工程专项施工方案，安装、拆卸人员名单，安装、拆卸时间等材料报施工总承包单位和监理单位审核后，告知工程所在地县级以上地方人民政府建设主管部门。</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第十五条：安装单位应当建立建筑起重机械安装、拆卸工程档案。</w:t>
            </w:r>
          </w:p>
        </w:tc>
        <w:tc>
          <w:tcPr>
            <w:tcW w:w="926" w:type="dxa"/>
            <w:vMerge w:val="continue"/>
            <w:tcBorders>
              <w:tl2br w:val="nil"/>
              <w:tr2bl w:val="nil"/>
            </w:tcBorders>
            <w:shd w:val="clear" w:color="auto" w:fill="auto"/>
            <w:vAlign w:val="center"/>
          </w:tcPr>
          <w:p w14:paraId="1AFA4C7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543C745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45B323A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0200406000</w:t>
            </w:r>
          </w:p>
        </w:tc>
        <w:tc>
          <w:tcPr>
            <w:tcW w:w="1282" w:type="dxa"/>
            <w:tcBorders>
              <w:tl2br w:val="nil"/>
              <w:tr2bl w:val="nil"/>
            </w:tcBorders>
            <w:shd w:val="clear" w:color="auto" w:fill="auto"/>
          </w:tcPr>
          <w:p w14:paraId="607692A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对不履行建筑起重机械安全职责的处罚</w:t>
            </w:r>
          </w:p>
        </w:tc>
        <w:tc>
          <w:tcPr>
            <w:tcW w:w="1016" w:type="dxa"/>
            <w:tcBorders>
              <w:tl2br w:val="nil"/>
              <w:tr2bl w:val="nil"/>
            </w:tcBorders>
            <w:vAlign w:val="center"/>
          </w:tcPr>
          <w:p w14:paraId="525EE27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23F4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477EEB8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1518946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65D248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F195A10">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B09252B">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51398061">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第二十三条：施工单位应当设立安全生产管理机构，配备专职安全生产管理人员。</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二条：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（一）未设立安全生产管理机构、配备专职安全生产管理人员或者分部分项工程施工时无专职安全生产管理人员现场监督的</w:t>
            </w:r>
          </w:p>
        </w:tc>
        <w:tc>
          <w:tcPr>
            <w:tcW w:w="926" w:type="dxa"/>
            <w:vMerge w:val="continue"/>
            <w:tcBorders>
              <w:tl2br w:val="nil"/>
              <w:tr2bl w:val="nil"/>
            </w:tcBorders>
            <w:shd w:val="clear" w:color="auto" w:fill="auto"/>
            <w:vAlign w:val="center"/>
          </w:tcPr>
          <w:p w14:paraId="1827D3E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shd w:val="clear" w:color="auto" w:fill="auto"/>
            <w:vAlign w:val="center"/>
          </w:tcPr>
          <w:p w14:paraId="66F8266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11AB679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0200407000</w:t>
            </w:r>
          </w:p>
        </w:tc>
        <w:tc>
          <w:tcPr>
            <w:tcW w:w="1282" w:type="dxa"/>
            <w:tcBorders>
              <w:tl2br w:val="nil"/>
              <w:tr2bl w:val="nil"/>
            </w:tcBorders>
            <w:shd w:val="clear" w:color="auto" w:fill="auto"/>
            <w:vAlign w:val="center"/>
          </w:tcPr>
          <w:p w14:paraId="3C1F4C5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对施工单位有违反安全生产管理行为的处罚</w:t>
            </w:r>
          </w:p>
        </w:tc>
        <w:tc>
          <w:tcPr>
            <w:tcW w:w="1016" w:type="dxa"/>
            <w:tcBorders>
              <w:tl2br w:val="nil"/>
              <w:tr2bl w:val="nil"/>
            </w:tcBorders>
            <w:vAlign w:val="center"/>
          </w:tcPr>
          <w:p w14:paraId="29C45EF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B81E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10290B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018B0D3">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28694C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5ABA6ABB">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708F871">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35A26A20">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第二十七条：建设工程施工前，施工单位负责项目管理的技术人员应当对有关安全施工的技术要求向施工作业班组、作业人员作出详细说明，并由双方签字确认。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四条：违反本条例的规定，施工单位有下列行为之一的，责令限期改正；逾期未改正的，责令停业整顿，并处五万元以上十万元以下的罚款；造成重大安全事故，构成犯罪的，对直接责任人员，依照刑法有关规定追究刑事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（一）施工前未对有关安全施工的技术要求作出详细说明的；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第二十八条　施工单位应当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w:t>
            </w:r>
          </w:p>
        </w:tc>
        <w:tc>
          <w:tcPr>
            <w:tcW w:w="926" w:type="dxa"/>
            <w:vMerge w:val="continue"/>
            <w:tcBorders>
              <w:tl2br w:val="nil"/>
              <w:tr2bl w:val="nil"/>
            </w:tcBorders>
            <w:vAlign w:val="center"/>
          </w:tcPr>
          <w:p w14:paraId="765DA90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58166A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3896D26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0200408000</w:t>
            </w:r>
          </w:p>
        </w:tc>
        <w:tc>
          <w:tcPr>
            <w:tcW w:w="1282" w:type="dxa"/>
            <w:tcBorders>
              <w:tl2br w:val="nil"/>
              <w:tr2bl w:val="nil"/>
            </w:tcBorders>
            <w:shd w:val="clear" w:color="auto" w:fill="auto"/>
            <w:vAlign w:val="center"/>
          </w:tcPr>
          <w:p w14:paraId="059EE05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对施工单位在施工中有违反文明施工及场容场貌管理行为的处罚</w:t>
            </w:r>
          </w:p>
        </w:tc>
        <w:tc>
          <w:tcPr>
            <w:tcW w:w="1016" w:type="dxa"/>
            <w:tcBorders>
              <w:tl2br w:val="nil"/>
              <w:tr2bl w:val="nil"/>
            </w:tcBorders>
            <w:vAlign w:val="center"/>
          </w:tcPr>
          <w:p w14:paraId="3785D5E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54B1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154A48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21360C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647A4EC2">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A08E012">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E082DDD">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5A9A1719">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第三十四条：施工单位采购、租赁的安全防护用具、机械设备、施工机具及配件，应当具有生产（制造）许可证、产品合格证，并在进入施工现场前进行查验。</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施工现场的安全防护用具、机械设备、施工机具及配件必须由专人管理，定期进行检查、维修和保养，建立相应的资料档案，并按照国家有关规定及时报废。</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六十五条：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(一)安全防护用具、机械设备、施工机具及配件在进入施工现场前未经查验或者查验不合格即投入使用的；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(二)使用未经验收或者验收不合格的施工起重机械和整体提升脚手架、模板等自升式架设设施的；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(三)委托不具有相应资质的单位承担施工现场安装、拆卸施工起重机械和整体提升脚手架、模板等自升式架设设施的；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(四)在施工组织设计中未编制安全技术措施、施工现场临时用电方案或者专项施工方案的。</w:t>
            </w:r>
          </w:p>
        </w:tc>
        <w:tc>
          <w:tcPr>
            <w:tcW w:w="926" w:type="dxa"/>
            <w:vMerge w:val="continue"/>
            <w:tcBorders>
              <w:tl2br w:val="nil"/>
              <w:tr2bl w:val="nil"/>
            </w:tcBorders>
            <w:vAlign w:val="center"/>
          </w:tcPr>
          <w:p w14:paraId="1375CF5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0A4B52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6F1BFF6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0200409000</w:t>
            </w:r>
          </w:p>
        </w:tc>
        <w:tc>
          <w:tcPr>
            <w:tcW w:w="1282" w:type="dxa"/>
            <w:tcBorders>
              <w:tl2br w:val="nil"/>
              <w:tr2bl w:val="nil"/>
            </w:tcBorders>
            <w:shd w:val="clear" w:color="auto" w:fill="auto"/>
            <w:vAlign w:val="center"/>
          </w:tcPr>
          <w:p w14:paraId="6E73B78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对施工企业在施工中不编制安全方案及使用不合格机械设备和安全用品的处罚</w:t>
            </w:r>
          </w:p>
        </w:tc>
        <w:tc>
          <w:tcPr>
            <w:tcW w:w="1016" w:type="dxa"/>
            <w:tcBorders>
              <w:tl2br w:val="nil"/>
              <w:tr2bl w:val="nil"/>
            </w:tcBorders>
            <w:vAlign w:val="center"/>
          </w:tcPr>
          <w:p w14:paraId="2E6F9B2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5B6A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922D94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11491BD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2943A21">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675894E">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939F359">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6C4DCF9B">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【规章】《江苏省安全生产监督管理规定》（省政府令第181号）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四条：违反本规定，有下列行为之一的，由安全生产监督管理部门或者其他有关部门责令改正，给予警告，并可视情节轻重处罚款。对非经营活动中的违法行为，罚款不超过一千元；对经营活动中的违法行为，罚款不超过一万元：</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（三）未按规定提取或使用安全生产技术措施专项费用的</w:t>
            </w:r>
          </w:p>
        </w:tc>
        <w:tc>
          <w:tcPr>
            <w:tcW w:w="926" w:type="dxa"/>
            <w:vMerge w:val="continue"/>
            <w:tcBorders>
              <w:tl2br w:val="nil"/>
              <w:tr2bl w:val="nil"/>
            </w:tcBorders>
            <w:vAlign w:val="center"/>
          </w:tcPr>
          <w:p w14:paraId="321F26D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B6F4D7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shd w:val="clear" w:color="auto" w:fill="auto"/>
            <w:vAlign w:val="center"/>
          </w:tcPr>
          <w:p w14:paraId="05D5918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0200415000</w:t>
            </w:r>
          </w:p>
        </w:tc>
        <w:tc>
          <w:tcPr>
            <w:tcW w:w="1282" w:type="dxa"/>
            <w:tcBorders>
              <w:tl2br w:val="nil"/>
              <w:tr2bl w:val="nil"/>
            </w:tcBorders>
            <w:shd w:val="clear" w:color="auto" w:fill="auto"/>
            <w:vAlign w:val="center"/>
          </w:tcPr>
          <w:p w14:paraId="77A71EA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对施工单位未按规定提取或使用安全生产技术措施专项费用的处罚</w:t>
            </w:r>
          </w:p>
        </w:tc>
        <w:tc>
          <w:tcPr>
            <w:tcW w:w="1016" w:type="dxa"/>
            <w:tcBorders>
              <w:tl2br w:val="nil"/>
              <w:tr2bl w:val="nil"/>
            </w:tcBorders>
            <w:vAlign w:val="center"/>
          </w:tcPr>
          <w:p w14:paraId="5A599A0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C8D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1579B95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157B007">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70D62D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0AE6965">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2B964AAF">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bottom"/>
          </w:tcPr>
          <w:p w14:paraId="5F940C2A">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中华人民共和国大气污染防治法（2015年主席令第三十一号）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第一百一十五条　违反本法规定，施工单位有下列行为之一的，由县级以上人民政府住房城乡建设等主管部门按照职责责令改正，处一万元以上十万元以下的罚款；拒不改正的，责令停工整治：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（一）施工工地未设置硬质密闭围挡，或者未采取覆盖、分段作业、择时施工、洒水抑尘、冲洗地面和车辆等有效防尘降尘措施的；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（二）建筑土方、工程渣土、建筑垃圾未及时清运，或者未采用密闭式防尘网遮盖的。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违反本法规定，建设单位未对暂时不能开工的建设用地的裸露地面进行覆盖，或者未对超过三个月不能开工的建设用地的裸露地面进行绿化、铺装或者遮盖的，由县级以上人民政府住房城乡建设等主管部门依照前款规定予以处罚。</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《江苏省大气污染防治条例》2015年江苏省人民代表大会公告第2号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八十八条有下列行为之一的，由环境保护、住房城乡建设、交通运输、水利等行政主管部门根据各自职责责令限期改正，可以处一万元以上十万元以下罚款；对逾期仍未达到当地环境保护规定要求的，可以责令其停工整顿：</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（一）违反本条例第五十一条规定，未采取扬尘防治措施的；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（二）违反本条例第五十二条第二款规定，未制定扬尘污染防治方案或者未按照方案采取防尘降尘措施的；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《苏州市扬尘污染防治管理办法》苏州市人民政府令 2011年第125号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第三十条 违反本办法规定，建设单位未按照规定报送扬尘污染防治方案的，由相关行政主管部门按照各自职责责令限期改正，并可以处2000元以上1万元以下罚款。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第三十一条 违反本办法规定，建设单位、施工单位未按照规定采取扬尘污染防治措施的，由相关行政主管部门按照各自职责责令限期改正，处200元以上2000元以下罚款；情节严重的，处2000元以上2万元以下罚款；逾期不改正的，可以责令其停工整顿。</w:t>
            </w:r>
          </w:p>
        </w:tc>
        <w:tc>
          <w:tcPr>
            <w:tcW w:w="926" w:type="dxa"/>
            <w:vMerge w:val="continue"/>
            <w:tcBorders>
              <w:tl2br w:val="nil"/>
              <w:tr2bl w:val="nil"/>
            </w:tcBorders>
            <w:vAlign w:val="center"/>
          </w:tcPr>
          <w:p w14:paraId="2BC508A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55B8CE8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01C5E09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5663C39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对未制定扬尘污染防治方案或者未按照规定采取扬尘污染防治措施的处罚</w:t>
            </w:r>
          </w:p>
        </w:tc>
        <w:tc>
          <w:tcPr>
            <w:tcW w:w="1016" w:type="dxa"/>
            <w:tcBorders>
              <w:tl2br w:val="nil"/>
              <w:tr2bl w:val="nil"/>
            </w:tcBorders>
            <w:vAlign w:val="center"/>
          </w:tcPr>
          <w:p w14:paraId="339C1BE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3770C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71EF805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122EBD8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58F453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807065D">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3B6C015">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bottom"/>
          </w:tcPr>
          <w:p w14:paraId="4DDBDF65">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《江苏省大气污染防治条例》2015年江苏省人民代表大会公告第2号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八十八条有下列行为之一的，由环境保护、住房城乡建设、交通运输、水利等行政主管部门根据各自职责责令限期改正，可以处一万元以上十万元以下罚款；对逾期仍未达到当地环境保护规定要求的，可以责令其停工整顿：</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（三）违反本条例第五十三条第一款规定，拆除房屋或者其他建（构）筑物时未设置围挡、采取持续加压喷淋等措施，或者未在爆破作业区外围洒水喷湿的；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（四）违反本条例第五十三条第二款规定，不停止房屋或者其他建（构）筑物爆破或者拆除作业的；</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（五）违反本条例第五十三条第三款规定，拆除工程完毕后七日内不能开工建设，未对裸土地面进行覆盖、绿化或者铺装的。</w:t>
            </w:r>
          </w:p>
        </w:tc>
        <w:tc>
          <w:tcPr>
            <w:tcW w:w="926" w:type="dxa"/>
            <w:vMerge w:val="continue"/>
            <w:tcBorders>
              <w:tl2br w:val="nil"/>
              <w:tr2bl w:val="nil"/>
            </w:tcBorders>
            <w:vAlign w:val="center"/>
          </w:tcPr>
          <w:p w14:paraId="136A8B1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5D4ACBD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48F1C49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4A93B0E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对拆除工程未采取扬尘防治措施的处罚</w:t>
            </w:r>
          </w:p>
        </w:tc>
        <w:tc>
          <w:tcPr>
            <w:tcW w:w="1016" w:type="dxa"/>
            <w:tcBorders>
              <w:tl2br w:val="nil"/>
              <w:tr2bl w:val="nil"/>
            </w:tcBorders>
            <w:vAlign w:val="center"/>
          </w:tcPr>
          <w:p w14:paraId="2382F11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05CA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BA8164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F3C17C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2FAD5C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D31DD59">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3CBA010B">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3EABFB76">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第八条 建设单位在编制工程概算时，应当确定建设工程安全作业环境及安全施工措施所需费用。</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第五十四条 违反本条例的规定，建设单位未提供建设工程安全生产作业环境及安全施工措施所需费用的，责令限期改正;逾期未改正的,责令该建设工程停止施工。</w:t>
            </w:r>
          </w:p>
        </w:tc>
        <w:tc>
          <w:tcPr>
            <w:tcW w:w="926" w:type="dxa"/>
            <w:vMerge w:val="continue"/>
            <w:tcBorders>
              <w:tl2br w:val="nil"/>
              <w:tr2bl w:val="nil"/>
            </w:tcBorders>
            <w:vAlign w:val="center"/>
          </w:tcPr>
          <w:p w14:paraId="79408FA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257794C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6FD9169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36AC80A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对建设单位未提供建设工程安全生产作业环境及安全施工措施所需费用的行为进行处罚</w:t>
            </w:r>
          </w:p>
        </w:tc>
        <w:tc>
          <w:tcPr>
            <w:tcW w:w="1016" w:type="dxa"/>
            <w:tcBorders>
              <w:tl2br w:val="nil"/>
              <w:tr2bl w:val="nil"/>
            </w:tcBorders>
            <w:vAlign w:val="center"/>
          </w:tcPr>
          <w:p w14:paraId="390C152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E4AF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5DF317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25644D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44F62D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527D3438">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6A8632CC">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2301FCE1">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第七条 建设单位不得对勘察、设计、施工、工程监理等单位提出不符合建设工程安全生产法律、法规和强制性标准规定的要求，不得压缩合同约定的工期。</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第五十五条 违反本条例的规定，建设单位有下列行为之一的，责令限期改正，处20万元以上50万元以下的罚款;造成重大安全事故，构成犯罪的，对直接责任人员，依照刑法有关规定追究刑事责任;造成损失的，依法承担赔偿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(二)要求施工单位压缩合同约定的工期的；</w:t>
            </w:r>
          </w:p>
        </w:tc>
        <w:tc>
          <w:tcPr>
            <w:tcW w:w="926" w:type="dxa"/>
            <w:vMerge w:val="continue"/>
            <w:tcBorders>
              <w:tl2br w:val="nil"/>
              <w:tr2bl w:val="nil"/>
            </w:tcBorders>
            <w:vAlign w:val="center"/>
          </w:tcPr>
          <w:p w14:paraId="265246D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574955B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4A69EFA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04673D5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对建设单位要求施工单位压缩合同约定的工期的行为进行处罚</w:t>
            </w:r>
          </w:p>
        </w:tc>
        <w:tc>
          <w:tcPr>
            <w:tcW w:w="1016" w:type="dxa"/>
            <w:tcBorders>
              <w:tl2br w:val="nil"/>
              <w:tr2bl w:val="nil"/>
            </w:tcBorders>
            <w:vAlign w:val="center"/>
          </w:tcPr>
          <w:p w14:paraId="1EE3786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8442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C0AE39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69BCC360">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7C68C79">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803AA8A">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C423E8B">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5E92FC4">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【行政法规】《建设工程安全生产管理条例》（国务院令第393号）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第六十六条 违反本条例的规定，施工单位的主要负责人、项目负责人未履行安全生产管理职责的，责令限期改正;逾期未改正的，责令施工单位停业整顿;造成重大安全事故、重大伤亡事故或者其他严重后果，构成犯罪的，依照刑法有关规定追究刑事责任。</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施工单位的主要负责人、项目负责人有前款违法行为，尚不够刑事处罚的，处2万元以上20万元以下的罚款或者按照管理权限给予撤职处分;自刑罚执行完毕或者受处分之日起，5年内不得担任任何施工单位的主要负责人、项目负责人。</w:t>
            </w:r>
          </w:p>
        </w:tc>
        <w:tc>
          <w:tcPr>
            <w:tcW w:w="926" w:type="dxa"/>
            <w:vMerge w:val="continue"/>
            <w:tcBorders>
              <w:tl2br w:val="nil"/>
              <w:tr2bl w:val="nil"/>
            </w:tcBorders>
            <w:vAlign w:val="center"/>
          </w:tcPr>
          <w:p w14:paraId="548DC61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153E09D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79C2277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5C0FB17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对施工单位的主要负责人、项目负责人未履行安全生产管理职责的，逾期未改正的行为进行处罚</w:t>
            </w:r>
          </w:p>
        </w:tc>
        <w:tc>
          <w:tcPr>
            <w:tcW w:w="1016" w:type="dxa"/>
            <w:tcBorders>
              <w:tl2br w:val="nil"/>
              <w:tr2bl w:val="nil"/>
            </w:tcBorders>
            <w:vAlign w:val="center"/>
          </w:tcPr>
          <w:p w14:paraId="5E19CA1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1E0D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7AD51E7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6B42C9F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326AC20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BFA5B78">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D433867">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3A262F6">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【地方政府规章】《苏州市扬尘污染防治管理办法》（苏州市人民政府令第125号）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第十条  建设单位对建设工程扬尘污染防治管理负总责，应当加强建设工程扬尘污染防治的管理，可以在施工、运输、监理合同中明确扬尘污染防治管理具体要求。</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建设工程扬尘污染防治费用应当列入工程预算，专款专用。</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第三十一条  违反本办法规定，建设单位、施工单位未按照规定采取扬尘污染防治措施的，由相关行政主管部门按照各自职责责令限期改正，处200元以上2000元以下罚款；情节严重的，处2000元以上2万元以下罚款；逾期不改正的，可以责令其停工整顿。</w:t>
            </w:r>
          </w:p>
        </w:tc>
        <w:tc>
          <w:tcPr>
            <w:tcW w:w="926" w:type="dxa"/>
            <w:vMerge w:val="continue"/>
            <w:tcBorders>
              <w:tl2br w:val="nil"/>
              <w:tr2bl w:val="nil"/>
            </w:tcBorders>
            <w:vAlign w:val="center"/>
          </w:tcPr>
          <w:p w14:paraId="2740838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21812BE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39E666E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0FE13F7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建设单位未加强建设工程扬尘污染防治的管理</w:t>
            </w:r>
          </w:p>
        </w:tc>
        <w:tc>
          <w:tcPr>
            <w:tcW w:w="1016" w:type="dxa"/>
            <w:tcBorders>
              <w:tl2br w:val="nil"/>
              <w:tr2bl w:val="nil"/>
            </w:tcBorders>
            <w:vAlign w:val="center"/>
          </w:tcPr>
          <w:p w14:paraId="51BDD78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4793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5FE6B3D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44F58FE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369F1294">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7B103E7">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417D89C">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25533C36">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【地方政府规章】《苏州市扬尘污染防治管理办法》（苏州市人民政府令第125号）</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第十四条  房屋建筑工程的施工应当符合下列扬尘污染防治要求：</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（一）工程开工前，施工工地按照规定设置围挡；地面、车行道路进行硬化等降尘处理。</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（二）在施工现场设置独立的建筑垃圾（工程渣土）收集场所，可以及时清运的建筑垃圾（工程渣土），堆放在临时堆放场，并采取围挡、遮盖等防尘措施。</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（三）施工工地按照规定使用预拌混凝土、预拌砂浆。</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（四）在施工工地内设置车辆清洗设施以及配套的排水、泥浆沉淀设施；运输车辆在除泥、冲洗干净后，方可驶出施工工地。</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（五）工程材料、砂石、土方等易产生扬尘的物料应当密闭处理。在施工工地内堆放的，设置围挡或者围墙，覆盖防尘网或者防尘布，配合定期洒水等措施，防止风蚀起尘。</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（六）易产生扬尘的土方工程等施工时采取洒水压尘，气象预报风速达到5级以上时，未采取防尘措施的，不得施工。</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（七）施工工地建筑结构脚手架外侧设置密目防尘网或者防尘布。</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（八）在建筑物、构筑物、脚手架以及卸料平台上运送散装物料和建筑垃圾（工程渣土）的，采用密闭方式清运，禁止高空抛洒。</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（九）施工工地闲置3个月以上的，对其裸露泥地进行临时绿化或者铺装。</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第三十一条  违反本办法规定，建设单位、施工单位未按照规定采取扬尘污染防治措施的，由相关行政主管部门按照各自职责责令限期改正，处200元以上2000元以下罚款；情节严重的，处2000元以上2万元以下罚款；逾期不改正的，可以责令其停工整顿。</w:t>
            </w:r>
          </w:p>
        </w:tc>
        <w:tc>
          <w:tcPr>
            <w:tcW w:w="926" w:type="dxa"/>
            <w:vMerge w:val="continue"/>
            <w:tcBorders>
              <w:tl2br w:val="nil"/>
              <w:tr2bl w:val="nil"/>
            </w:tcBorders>
            <w:vAlign w:val="center"/>
          </w:tcPr>
          <w:p w14:paraId="5921AEB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A58794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5FB0ED2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4A81266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房屋建筑工程施工过程中不符合扬尘污染防治要求的</w:t>
            </w:r>
          </w:p>
        </w:tc>
        <w:tc>
          <w:tcPr>
            <w:tcW w:w="1016" w:type="dxa"/>
            <w:tcBorders>
              <w:tl2br w:val="nil"/>
              <w:tr2bl w:val="nil"/>
            </w:tcBorders>
            <w:vAlign w:val="center"/>
          </w:tcPr>
          <w:p w14:paraId="351EF3E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3BBF7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441B928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7310775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6B7D288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51346622">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9B92D76">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4E197E8">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【地方性法规】《江苏省大气污染防治条例》</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第五十六条第二款：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施工单位应当遵守建设施工现场环境保护的规定，建立相应的责任管理制度，制定扬尘污染防治方案，在施工工地设置密闭围挡，采取覆盖、分段作业、择时施工、洒水抑尘、冲洗地面和车辆等有效防尘降尘措施。</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第九十四条 有下列行为之一的，由生态环境、住房城乡建设、交通运输、水利等行政主管部门根据各自职责责令限期改正，处一万元以上十万元以下罚款；对逾期仍未达到当地环境保护规定要求的，责令其停工整顿：</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（二）违反本条例第五十六条第二款规定，未制定扬尘污染防治方案或者未按照方案采取防尘降尘措施的；</w:t>
            </w:r>
          </w:p>
        </w:tc>
        <w:tc>
          <w:tcPr>
            <w:tcW w:w="926" w:type="dxa"/>
            <w:vMerge w:val="continue"/>
            <w:tcBorders>
              <w:tl2br w:val="nil"/>
              <w:tr2bl w:val="nil"/>
            </w:tcBorders>
            <w:vAlign w:val="center"/>
          </w:tcPr>
          <w:p w14:paraId="20A2B5B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2E872B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5354CEC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196ABD8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施工单位未制定扬尘污染防治方案或者未按照方案采取防尘降尘措施的</w:t>
            </w:r>
          </w:p>
        </w:tc>
        <w:tc>
          <w:tcPr>
            <w:tcW w:w="1016" w:type="dxa"/>
            <w:tcBorders>
              <w:tl2br w:val="nil"/>
              <w:tr2bl w:val="nil"/>
            </w:tcBorders>
            <w:vAlign w:val="center"/>
          </w:tcPr>
          <w:p w14:paraId="77BE3F3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C310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4FCCF1A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45B7D13">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566263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DA4A5B7">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68162DF">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8772821">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【法律】《中华人民共和国大气污染防治法》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第六十九条第三款  施工单位应当在施工工地设置硬质围挡，并采取覆盖、分段作业、择时施工、洒水抑尘、冲洗地面和车辆等有效防尘降尘措施。建筑土方、工程渣土、建筑垃圾应当及时清运；在场地内堆存的，应当采用密闭式防尘网遮盖。工程渣土、建筑垃圾应当进行资源化处理。</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第一百一十五条  违反本法规定，施工单位有下列行为之一的，由县级以上人民政府住房城乡建设等主管部门按照职责责令改正，处一万元以上十万元以下的罚款；拒不改正的，责令停工整治： （一）施工工地未设置硬质围挡，或者未采取覆盖、分段作业、择时施工、洒水抑尘、冲洗地面和车辆等有效防尘降尘措施的；</w:t>
            </w:r>
          </w:p>
        </w:tc>
        <w:tc>
          <w:tcPr>
            <w:tcW w:w="926" w:type="dxa"/>
            <w:vMerge w:val="continue"/>
            <w:tcBorders>
              <w:tl2br w:val="nil"/>
              <w:tr2bl w:val="nil"/>
            </w:tcBorders>
            <w:vAlign w:val="center"/>
          </w:tcPr>
          <w:p w14:paraId="5BC3438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5CAEC78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28ECF7A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73C9468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施工单位未在施工工地设置硬质围挡，未采取覆盖、分段作业、择时施工、洒水抑尘、冲洗地面和车辆等有效防尘降尘措施。</w:t>
            </w:r>
          </w:p>
        </w:tc>
        <w:tc>
          <w:tcPr>
            <w:tcW w:w="1016" w:type="dxa"/>
            <w:tcBorders>
              <w:tl2br w:val="nil"/>
              <w:tr2bl w:val="nil"/>
            </w:tcBorders>
            <w:vAlign w:val="center"/>
          </w:tcPr>
          <w:p w14:paraId="3A6BBF8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206F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19D4013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68E51FB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389F865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5C2AC5CF">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50D31D9A">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33EB7A53">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【法律】《中华人民共和国大气污染防治法》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第六十九条第三款  施工单位应当在施工工地设置硬质围挡，并采取覆盖、分段作业、择时施工、洒水抑尘、冲洗地面和车辆等有效防尘降尘措施。建筑土方、工程渣土、建筑垃圾应当及时清运；在场地内堆存的，应当采用密闭式防尘网遮盖。工程渣土、建筑垃圾应当进行资源化处理。</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第一百一十五条  违反本法规定，施工单位有下列行为之一的，由县级以上人民政府住房城乡建设等主管部门按照职责责令改正，处一万元以上十万元以下的罚款；拒不改正的，责令停工整治：（二）建筑土方、工程渣土、建筑垃圾未及时清运，或者未采用密闭式防尘网遮盖的。</w:t>
            </w:r>
          </w:p>
        </w:tc>
        <w:tc>
          <w:tcPr>
            <w:tcW w:w="926" w:type="dxa"/>
            <w:vMerge w:val="continue"/>
            <w:tcBorders>
              <w:tl2br w:val="nil"/>
              <w:tr2bl w:val="nil"/>
            </w:tcBorders>
            <w:vAlign w:val="center"/>
          </w:tcPr>
          <w:p w14:paraId="4F66852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1248DB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5924E05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49CA843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建筑土方、工程渣土、建筑垃圾在场地内堆存的，未采用密闭式防尘网遮盖。</w:t>
            </w:r>
          </w:p>
        </w:tc>
        <w:tc>
          <w:tcPr>
            <w:tcW w:w="1016" w:type="dxa"/>
            <w:tcBorders>
              <w:tl2br w:val="nil"/>
              <w:tr2bl w:val="nil"/>
            </w:tcBorders>
            <w:vAlign w:val="center"/>
          </w:tcPr>
          <w:p w14:paraId="1374970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DA5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1121C31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025ABC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59B96D7">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DD22D07">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2AF3C2A">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580A882B">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第五条　建设单位应当依法提供真实、准确、完整的工程地质、水文地质和工程周边环境等资料。</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第二十九条　建设单位有下列行为之一的，责令限期改正，并处1万元以上3万元以下的罚款；对直接负责的主管人员和其他直接责任人员处1000元以上5000元以下的罚款：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（一）未按照本规定提供工程周边环境等资料的；</w:t>
            </w:r>
          </w:p>
        </w:tc>
        <w:tc>
          <w:tcPr>
            <w:tcW w:w="926" w:type="dxa"/>
            <w:vMerge w:val="continue"/>
            <w:tcBorders>
              <w:tl2br w:val="nil"/>
              <w:tr2bl w:val="nil"/>
            </w:tcBorders>
            <w:vAlign w:val="center"/>
          </w:tcPr>
          <w:p w14:paraId="4A957C8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135EACC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1D11425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2CF9A36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危大工程，建设单位未依法提供真实、准确、完整的工程地质、水文地质和工程周边环境等资料。</w:t>
            </w:r>
          </w:p>
        </w:tc>
        <w:tc>
          <w:tcPr>
            <w:tcW w:w="1016" w:type="dxa"/>
            <w:tcBorders>
              <w:tl2br w:val="nil"/>
              <w:tr2bl w:val="nil"/>
            </w:tcBorders>
            <w:vAlign w:val="center"/>
          </w:tcPr>
          <w:p w14:paraId="3274BB1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25C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41E575B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4B61F2C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37406F8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CC5BCF9">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22813ECE">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85CEEB5">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第七条　建设单位应当组织勘察、设计等单位在施工招标文件中列出危大工程清单，要求施工单位在投标时补充完善危大工程清单并明确相应的安全管理措施。</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第二十九条　建设单位有下列行为之一的，责令限期改正，并处1万元以上3万元以下的罚款；对直接负责的主管人员和其他直接责任人员处1000元以上5000元以下的罚款：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（二）未按照本规定在招标文件中列出危大工程清单的；</w:t>
            </w:r>
          </w:p>
        </w:tc>
        <w:tc>
          <w:tcPr>
            <w:tcW w:w="926" w:type="dxa"/>
            <w:vMerge w:val="continue"/>
            <w:tcBorders>
              <w:tl2br w:val="nil"/>
              <w:tr2bl w:val="nil"/>
            </w:tcBorders>
            <w:vAlign w:val="center"/>
          </w:tcPr>
          <w:p w14:paraId="413E168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32683D9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345C276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157BC1E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建设单位未按照本规定在招标文件中列出危大工程清单的。</w:t>
            </w:r>
          </w:p>
        </w:tc>
        <w:tc>
          <w:tcPr>
            <w:tcW w:w="1016" w:type="dxa"/>
            <w:tcBorders>
              <w:tl2br w:val="nil"/>
              <w:tr2bl w:val="nil"/>
            </w:tcBorders>
            <w:vAlign w:val="center"/>
          </w:tcPr>
          <w:p w14:paraId="61DD992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3E2A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59D5C52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E4272AF">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896BDB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B9888E1">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667998D3">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35673D05">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第八条　建设单位应当按照施工合同约定及时支付危大工程施工技术措施费以及相应的安全防护文明施工措施费，保障危大工程施工安全。</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第二十九条　建设单位有下列行为之一的，责令限期改正，并处1万元以上3万元以下的罚款；对直接负责的主管人员和其他直接责任人员处1000元以上5000元以下的罚款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（三）未按照施工合同约定及时支付危大工程施工技术措施费或者相应的安全防护文明施工措施费的；</w:t>
            </w:r>
          </w:p>
        </w:tc>
        <w:tc>
          <w:tcPr>
            <w:tcW w:w="926" w:type="dxa"/>
            <w:vMerge w:val="continue"/>
            <w:tcBorders>
              <w:tl2br w:val="nil"/>
              <w:tr2bl w:val="nil"/>
            </w:tcBorders>
            <w:vAlign w:val="center"/>
          </w:tcPr>
          <w:p w14:paraId="4F124C0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AA4719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421F542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624C969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建设单位未按照施工合同约定及时支付危大工程施工技术措施费或者相应的安全防护文明施工措施费的</w:t>
            </w:r>
          </w:p>
        </w:tc>
        <w:tc>
          <w:tcPr>
            <w:tcW w:w="1016" w:type="dxa"/>
            <w:tcBorders>
              <w:tl2br w:val="nil"/>
              <w:tr2bl w:val="nil"/>
            </w:tcBorders>
            <w:vAlign w:val="center"/>
          </w:tcPr>
          <w:p w14:paraId="0D171CC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3B2D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1EE394C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401F3173">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22824C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F0A395E">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C628403">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7149F5CB">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第二十条第一款  对于按照规定需要进行第三方监测的危大工程，建设单位应当委托具有相应勘察资质的单位进行监测。</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第二十九条　建设单位有下列行为之一的，责令限期改正，并处1万元以上3万元以下的罚款；对直接负责的主管人员和其他直接责任人员处1000元以上5000元以下的罚款：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（四）未按照本规定委托具有相应勘察资质的单位进行第三方监测的；</w:t>
            </w:r>
          </w:p>
        </w:tc>
        <w:tc>
          <w:tcPr>
            <w:tcW w:w="926" w:type="dxa"/>
            <w:vMerge w:val="continue"/>
            <w:tcBorders>
              <w:tl2br w:val="nil"/>
              <w:tr2bl w:val="nil"/>
            </w:tcBorders>
            <w:vAlign w:val="center"/>
          </w:tcPr>
          <w:p w14:paraId="64EC350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2273365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498AAB9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315FED5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按照规定需要进行第三方监测的危大工程施工，建设单位未委托第三方监测</w:t>
            </w:r>
          </w:p>
        </w:tc>
        <w:tc>
          <w:tcPr>
            <w:tcW w:w="1016" w:type="dxa"/>
            <w:tcBorders>
              <w:tl2br w:val="nil"/>
              <w:tr2bl w:val="nil"/>
            </w:tcBorders>
            <w:vAlign w:val="center"/>
          </w:tcPr>
          <w:p w14:paraId="3D5433E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58E6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B52576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7A0C4D9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37DAB09">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291CDEF">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90A1FBC">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51B17924">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第二十条第三款　监测单位应当按照监测方案开展监测，及时向建设单位报送监测成果，并对监测成果负责；发现异常时，及时向建设、设计、施工、监理单位报告，建设单位应当立即组织相关单位采取处置措施。</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第二十九条　建设单位有下列行为之一的，责令限期改正，并处1万元以上3万元以下的罚款；对直接负责的主管人员和其他直接责任人员处1000元以上5000元以下的罚款：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（五）未对第三方监测单位报告的异常情况组织采取处置措施的。</w:t>
            </w:r>
          </w:p>
        </w:tc>
        <w:tc>
          <w:tcPr>
            <w:tcW w:w="926" w:type="dxa"/>
            <w:vMerge w:val="continue"/>
            <w:tcBorders>
              <w:tl2br w:val="nil"/>
              <w:tr2bl w:val="nil"/>
            </w:tcBorders>
            <w:vAlign w:val="center"/>
          </w:tcPr>
          <w:p w14:paraId="1522C09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56AB17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651951C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7F448EF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危大工程监测成果发现异常时，建设单位未立即组织相关单位采取处置措施</w:t>
            </w:r>
          </w:p>
        </w:tc>
        <w:tc>
          <w:tcPr>
            <w:tcW w:w="1016" w:type="dxa"/>
            <w:tcBorders>
              <w:tl2br w:val="nil"/>
              <w:tr2bl w:val="nil"/>
            </w:tcBorders>
            <w:vAlign w:val="center"/>
          </w:tcPr>
          <w:p w14:paraId="52AA033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57355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44D5E60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F519902">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0641337">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7479B2A">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2F4D67C">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340EBAA6">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第十四条　施工单位应当在施工现场显著位置公告危大工程名称、施工时间和具体责任人员，并在危险区域设置安全警示标志。</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第三十三条　施工单位有下列行为之一的，依照《中华人民共和国安全生产法》《建设工程安全生产管理条例》对单位和相关责任人员进行处罚：</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（二）未在施工现场显著位置公告危大工程，并在危险区域设置安全警示标志的；</w:t>
            </w:r>
          </w:p>
        </w:tc>
        <w:tc>
          <w:tcPr>
            <w:tcW w:w="926" w:type="dxa"/>
            <w:vMerge w:val="continue"/>
            <w:tcBorders>
              <w:tl2br w:val="nil"/>
              <w:tr2bl w:val="nil"/>
            </w:tcBorders>
            <w:vAlign w:val="center"/>
          </w:tcPr>
          <w:p w14:paraId="56A49C6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7B54D3B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7A3D8EC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74EFBBA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施工单位未在施工现场显著位置公告危大工程，并在危险区域设置安全警示标志的</w:t>
            </w:r>
          </w:p>
        </w:tc>
        <w:tc>
          <w:tcPr>
            <w:tcW w:w="1016" w:type="dxa"/>
            <w:tcBorders>
              <w:tl2br w:val="nil"/>
              <w:tr2bl w:val="nil"/>
            </w:tcBorders>
            <w:vAlign w:val="center"/>
          </w:tcPr>
          <w:p w14:paraId="790540C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5DD2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DBD868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1E75295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C7E0E48">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88EB3DF">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63F8C80F">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2DC3022">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第十五条　专项施工方案实施前，编制人员或者项目技术负责人应当向施工现场管理人员进行方案交底。</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施工现场管理人员应当向作业人员进行安全技术交底，并由双方和项目专职安全生产管理人员共同签字确认。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第三十三条　施工单位有下列行为之一的，依照《中华人民共和国安全生产法》《建设工程安全生产管理条例》对单位和相关责任人员进行处罚：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（一）未向施工现场管理人员和作业人员进行方案交底和安全技术交底的。</w:t>
            </w:r>
          </w:p>
        </w:tc>
        <w:tc>
          <w:tcPr>
            <w:tcW w:w="926" w:type="dxa"/>
            <w:vMerge w:val="continue"/>
            <w:tcBorders>
              <w:tl2br w:val="nil"/>
              <w:tr2bl w:val="nil"/>
            </w:tcBorders>
            <w:vAlign w:val="center"/>
          </w:tcPr>
          <w:p w14:paraId="091E512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154D30E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54E427C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03DC168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危大工程施工前，施工单位未向施工现场管理人员和作业人员进行方案交底和安全技术交底的</w:t>
            </w:r>
          </w:p>
        </w:tc>
        <w:tc>
          <w:tcPr>
            <w:tcW w:w="1016" w:type="dxa"/>
            <w:tcBorders>
              <w:tl2br w:val="nil"/>
              <w:tr2bl w:val="nil"/>
            </w:tcBorders>
            <w:vAlign w:val="center"/>
          </w:tcPr>
          <w:p w14:paraId="0D0A6AC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86F6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2A05C90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60C325A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CFFB01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5BA30BA7">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35ACE05">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79C11F7B">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第十七条第二款　项目专职安全生产管理人员应当对专项施工方案实施情况进行现场监督，对未按照专项施工方案施工的，应当要求立即整改，并及时报告项目负责人，项目负责人应当及时组织限期整改。</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第三十三条　施工单位有下列行为之一的，依照《中华人民共和国安全生产法》《建设工程安全生产管理条例》对单位和相关责任人员进行处罚</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（三）项目专职安全生产管理人员未对专项施工方案实施情况进行现场监督的。</w:t>
            </w:r>
          </w:p>
        </w:tc>
        <w:tc>
          <w:tcPr>
            <w:tcW w:w="926" w:type="dxa"/>
            <w:vMerge w:val="continue"/>
            <w:tcBorders>
              <w:tl2br w:val="nil"/>
              <w:tr2bl w:val="nil"/>
            </w:tcBorders>
            <w:vAlign w:val="center"/>
          </w:tcPr>
          <w:p w14:paraId="36264F0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BC4D53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7A85FB9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7B2DCB5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施工单位项目专职安全生产管理人员未对专项施工方案实施情况进行现场监督的</w:t>
            </w:r>
          </w:p>
        </w:tc>
        <w:tc>
          <w:tcPr>
            <w:tcW w:w="1016" w:type="dxa"/>
            <w:tcBorders>
              <w:tl2br w:val="nil"/>
              <w:tr2bl w:val="nil"/>
            </w:tcBorders>
            <w:vAlign w:val="center"/>
          </w:tcPr>
          <w:p w14:paraId="123A53A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2E2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44BE17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21F595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B29D60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A4E9DDD">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E734C14">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447F253">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第十二条第一款　对于超过一定规模的危大工程，施工单位应当组织召开专家论证会对专项施工方案进行论证。实行施工总承包的，由施工总承包单位组织召开专家论证会。专家论证前专项施工方案应当通过施工单位审核和总监理工程师审查。</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第三十四条　施工单位有下列行为之一的，责令限期改正，处1万元以上3万元以下的罚款，并暂扣安全生产许可证30日；对直接负责的主管人员和其他直接责任人员处1000元以上5000元以下的罚款：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（一）未对超过一定规模的危大工程专项施工方案进行专家论证的。</w:t>
            </w:r>
          </w:p>
        </w:tc>
        <w:tc>
          <w:tcPr>
            <w:tcW w:w="926" w:type="dxa"/>
            <w:vMerge w:val="continue"/>
            <w:tcBorders>
              <w:tl2br w:val="nil"/>
              <w:tr2bl w:val="nil"/>
            </w:tcBorders>
            <w:vAlign w:val="center"/>
          </w:tcPr>
          <w:p w14:paraId="35E65D1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4BD7CD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248A5B0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064C03D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施工单位未对超过一定规模的危大工程专项施工方案进行专家论证的</w:t>
            </w:r>
          </w:p>
        </w:tc>
        <w:tc>
          <w:tcPr>
            <w:tcW w:w="1016" w:type="dxa"/>
            <w:tcBorders>
              <w:tl2br w:val="nil"/>
              <w:tr2bl w:val="nil"/>
            </w:tcBorders>
            <w:vAlign w:val="center"/>
          </w:tcPr>
          <w:p w14:paraId="190506D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59BA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70B3906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61F9974F">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8D5201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FDCE7E1">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A5210C3">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F9DB8C2">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第十三条第二款第三款　专项施工方案经论证需修改后通过的，施工单位应当根据论证报告修改完善后，重新履行本规定第十一条的程序。</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专项施工方案经论证不通过的，施工单位修改后应当按照本规定的要求重新组织专家论证。</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第三十四条　施工单位有下列行为之一的，责令限期改正，处1万元以上3万元以下的罚款，并暂扣安全生产许可证30日；对直接负责的主管人员和其他直接责任人员处1000元以上5000元以下的罚款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（二）未根据专家论证报告对超过一定规模的危大工程专项施工方案进行修改，或者未按照本规定重新组织专家论证的。</w:t>
            </w:r>
          </w:p>
        </w:tc>
        <w:tc>
          <w:tcPr>
            <w:tcW w:w="926" w:type="dxa"/>
            <w:vMerge w:val="continue"/>
            <w:tcBorders>
              <w:tl2br w:val="nil"/>
              <w:tr2bl w:val="nil"/>
            </w:tcBorders>
            <w:vAlign w:val="center"/>
          </w:tcPr>
          <w:p w14:paraId="6EA7D05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9E97C9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4B11B7D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3DD1094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施工单位未根据专家论证报告对超过一定规模的危大工程专项施工方案进行修改，或者未按照本规定重新组织专家论证的</w:t>
            </w:r>
          </w:p>
        </w:tc>
        <w:tc>
          <w:tcPr>
            <w:tcW w:w="1016" w:type="dxa"/>
            <w:tcBorders>
              <w:tl2br w:val="nil"/>
              <w:tr2bl w:val="nil"/>
            </w:tcBorders>
            <w:vAlign w:val="center"/>
          </w:tcPr>
          <w:p w14:paraId="331CA93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5E97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663047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4B630D31">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3FB8E38">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77C5895">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FC9304D">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316DC538">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第十六条　施工单位应当严格按照专项施工方案组织施工，不得擅自修改专项施工方案。</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第三十四条　施工单位有下列行为之一的，责令限期改正，处1万元以上3万元以下的罚款，并暂扣安全生产许可证30日；对直接负责的主管人员和其他直接责任人员处1000元以上5000元以下的罚款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（三）未严格按照专项施工方案组织施工，或者擅自修改专项施工方案的。</w:t>
            </w:r>
          </w:p>
        </w:tc>
        <w:tc>
          <w:tcPr>
            <w:tcW w:w="926" w:type="dxa"/>
            <w:vMerge w:val="continue"/>
            <w:tcBorders>
              <w:tl2br w:val="nil"/>
              <w:tr2bl w:val="nil"/>
            </w:tcBorders>
            <w:vAlign w:val="center"/>
          </w:tcPr>
          <w:p w14:paraId="6EF1F16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271AD8A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269BF52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59F754E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危大工程施工，施工单位未严格按照专项施工方案组织施工，或者擅自修改专项施工方案的</w:t>
            </w:r>
          </w:p>
        </w:tc>
        <w:tc>
          <w:tcPr>
            <w:tcW w:w="1016" w:type="dxa"/>
            <w:tcBorders>
              <w:tl2br w:val="nil"/>
              <w:tr2bl w:val="nil"/>
            </w:tcBorders>
            <w:vAlign w:val="center"/>
          </w:tcPr>
          <w:p w14:paraId="6544244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BE3E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60022E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C69A33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CBCF65D">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F982DCF">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6EEE6FE">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6BA0154D">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第十七条　施工单位应当对危大工程施工作业人员进行登记，项目负责人应当在施工现场履职。</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第三十五条　施工单位有下列行为之一的，责令限期改正，并处1万元以上3万元以下的罚款；对直接负责的主管人员和其他直接责任人员处1000元以上5000元以下的罚款：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（一）项目负责人未按照本规定现场履职或者组织限期整改的；</w:t>
            </w:r>
          </w:p>
        </w:tc>
        <w:tc>
          <w:tcPr>
            <w:tcW w:w="926" w:type="dxa"/>
            <w:vMerge w:val="continue"/>
            <w:tcBorders>
              <w:tl2br w:val="nil"/>
              <w:tr2bl w:val="nil"/>
            </w:tcBorders>
            <w:vAlign w:val="center"/>
          </w:tcPr>
          <w:p w14:paraId="16A42A1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44A0EF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342052D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575D54D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危大工程施工，施工单位项目负责人未现场履职或者组织限期整改的</w:t>
            </w:r>
          </w:p>
        </w:tc>
        <w:tc>
          <w:tcPr>
            <w:tcW w:w="1016" w:type="dxa"/>
            <w:tcBorders>
              <w:tl2br w:val="nil"/>
              <w:tr2bl w:val="nil"/>
            </w:tcBorders>
            <w:vAlign w:val="center"/>
          </w:tcPr>
          <w:p w14:paraId="5238C70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59C17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4CDD6E8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9CCAB9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388FA4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1DEDF39">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0EF68D3">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59A3C20">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第十七条　施工单位应当按照规定对危大工程进行施工监测和安全巡视，发现危及人身安全的紧急情况，应当立即组织作业人员撤离危险区域。</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第三十五条　施工单位有下列行为之一的，责令限期改正，并处1万元以上3万元以下的罚款；对直接负责的主管人员和其他直接责任人员处1000元以上5000元以下的罚款：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（二）施工单位未按照本规定进行施工监测和安全巡视的；</w:t>
            </w:r>
          </w:p>
        </w:tc>
        <w:tc>
          <w:tcPr>
            <w:tcW w:w="926" w:type="dxa"/>
            <w:vMerge w:val="continue"/>
            <w:tcBorders>
              <w:tl2br w:val="nil"/>
              <w:tr2bl w:val="nil"/>
            </w:tcBorders>
            <w:vAlign w:val="center"/>
          </w:tcPr>
          <w:p w14:paraId="2931DE1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1A62DA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6334B7C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54A6BD1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危大工程施工，施工单位未进行施工监测和安全巡视的</w:t>
            </w:r>
          </w:p>
        </w:tc>
        <w:tc>
          <w:tcPr>
            <w:tcW w:w="1016" w:type="dxa"/>
            <w:tcBorders>
              <w:tl2br w:val="nil"/>
              <w:tr2bl w:val="nil"/>
            </w:tcBorders>
            <w:vAlign w:val="center"/>
          </w:tcPr>
          <w:p w14:paraId="39A03FA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597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87CC6B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71D254F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8741C9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46CE5A1B">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B232DC9">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2DC27CE1">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第二十一条　对于按照规定需要验收的危大工程，施工单位、监理单位应当组织相关人员进行验收。验收合格的，经施工单位项目技术负责人及总监理工程师签字确认后，方可进入下一道工序。</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第三十五条　施工单位有下列行为之一的，责令限期改正，并处1万元以上3万元以下的罚款；对直接负责的主管人员和其他直接责任人员处1000元以上5000元以下的罚款：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（三）未按照本规定组织危大工程验收的；</w:t>
            </w:r>
          </w:p>
        </w:tc>
        <w:tc>
          <w:tcPr>
            <w:tcW w:w="926" w:type="dxa"/>
            <w:vMerge w:val="continue"/>
            <w:tcBorders>
              <w:tl2br w:val="nil"/>
              <w:tr2bl w:val="nil"/>
            </w:tcBorders>
            <w:vAlign w:val="center"/>
          </w:tcPr>
          <w:p w14:paraId="233ED70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EB9E05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70D01EC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3D348CC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施工单位未组织危大工程验收的</w:t>
            </w:r>
          </w:p>
        </w:tc>
        <w:tc>
          <w:tcPr>
            <w:tcW w:w="1016" w:type="dxa"/>
            <w:tcBorders>
              <w:tl2br w:val="nil"/>
              <w:tr2bl w:val="nil"/>
            </w:tcBorders>
            <w:vAlign w:val="center"/>
          </w:tcPr>
          <w:p w14:paraId="38214C4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83F0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9559EC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D87C22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694A179">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0CA0644">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60755A27">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24012853">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第二十二条　危大工程发生险情或者事故时，施工单位应当立即采取应急处置措施，并报告工程所在地住房城乡建设主管部门。建设、勘察、设计、监理等单位应当配合施工单位开展应急抢险工作。</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第三十五条　施工单位有下列行为之一的，责令限期改正，并处1万元以上3万元以下的罚款；对直接负责的主管人员和其他直接责任人员处1000元以上5000元以下的罚款：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（四）发生险情或者事故时，未采取应急处置措施的；</w:t>
            </w:r>
          </w:p>
        </w:tc>
        <w:tc>
          <w:tcPr>
            <w:tcW w:w="926" w:type="dxa"/>
            <w:vMerge w:val="continue"/>
            <w:tcBorders>
              <w:tl2br w:val="nil"/>
              <w:tr2bl w:val="nil"/>
            </w:tcBorders>
            <w:vAlign w:val="center"/>
          </w:tcPr>
          <w:p w14:paraId="3D12AD4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3B04E41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6FC6E1A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1616305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危大工程发生险情或者事故时，施工单位未采取应急处置措施的</w:t>
            </w:r>
          </w:p>
        </w:tc>
        <w:tc>
          <w:tcPr>
            <w:tcW w:w="1016" w:type="dxa"/>
            <w:tcBorders>
              <w:tl2br w:val="nil"/>
              <w:tr2bl w:val="nil"/>
            </w:tcBorders>
            <w:vAlign w:val="center"/>
          </w:tcPr>
          <w:p w14:paraId="0ACDE44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43F3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D021FD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68175549">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5B8646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F5BCA7A">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68C0B6D3">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64EBDCA">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第二十四条　施工、监理单位应当建立危大工程安全管理档案。</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    施工单位应当将专项施工方案及审核、专家论证、交底、现场检查、验收及整改等相关资料纳入档案管理。</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第三十五条　施工单位有下列行为之一的，责令限期改正，并处1万元以上3万元以下的罚款；对直接负责的主管人员和其他直接责任人员处1000元以上5000元以下的罚款：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（五）未按照本规定建立危大工程安全管理档案的。</w:t>
            </w:r>
          </w:p>
        </w:tc>
        <w:tc>
          <w:tcPr>
            <w:tcW w:w="926" w:type="dxa"/>
            <w:vMerge w:val="continue"/>
            <w:tcBorders>
              <w:tl2br w:val="nil"/>
              <w:tr2bl w:val="nil"/>
            </w:tcBorders>
            <w:vAlign w:val="center"/>
          </w:tcPr>
          <w:p w14:paraId="57445FC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544D2D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58E0F30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6D28EA7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施工单位未建立危大工程安全管理档案的</w:t>
            </w:r>
          </w:p>
        </w:tc>
        <w:tc>
          <w:tcPr>
            <w:tcW w:w="1016" w:type="dxa"/>
            <w:tcBorders>
              <w:tl2br w:val="nil"/>
              <w:tr2bl w:val="nil"/>
            </w:tcBorders>
            <w:vAlign w:val="center"/>
          </w:tcPr>
          <w:p w14:paraId="1E0CC69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5F052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9A361E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5E19071">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2DF7950">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53B199ED">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2CB0F7E">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4EABFFB">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第十一条第一款　专项施工方案应当由施工单位技术负责人审核签字、加盖单位公章，并由总监理工程师审查签字、加盖执业印章后方可实施。。</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第三十六条　监理单位有下列行为之一的，依照《中华人民共和国安全生产法》《建设工程安全生产管理条例》对单位进行处罚；对直接负责的主管人员和其他直接责任人员处1000元以上5000元以下的罚款：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（一）总监理工程师未按照本规定审查危大工程专项施工方案的；</w:t>
            </w:r>
          </w:p>
        </w:tc>
        <w:tc>
          <w:tcPr>
            <w:tcW w:w="926" w:type="dxa"/>
            <w:vMerge w:val="continue"/>
            <w:tcBorders>
              <w:tl2br w:val="nil"/>
              <w:tr2bl w:val="nil"/>
            </w:tcBorders>
            <w:vAlign w:val="center"/>
          </w:tcPr>
          <w:p w14:paraId="6169381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91BB64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32A4AA2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373B713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总监理工程师未按照本规定审查危大工程专项施工方案的</w:t>
            </w:r>
          </w:p>
        </w:tc>
        <w:tc>
          <w:tcPr>
            <w:tcW w:w="1016" w:type="dxa"/>
            <w:tcBorders>
              <w:tl2br w:val="nil"/>
              <w:tr2bl w:val="nil"/>
            </w:tcBorders>
            <w:vAlign w:val="center"/>
          </w:tcPr>
          <w:p w14:paraId="79C840F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31A0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976DD5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48C330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E750738">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AC038E2">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6618F4CC">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721A8914">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第十九条　监理单位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门。</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第三十六条　监理单位有下列行为之一的，依照《中华人民共和国安全生产法》《建设工程安全生产管理条例》对单位进行处罚；对直接负责的主管人员和其他直接责任人员处1000元以上5000元以下的罚款：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（二）发现施工单位未按照专项施工方案实施，未要求其整改或者停工的；</w:t>
            </w:r>
          </w:p>
        </w:tc>
        <w:tc>
          <w:tcPr>
            <w:tcW w:w="926" w:type="dxa"/>
            <w:vMerge w:val="continue"/>
            <w:tcBorders>
              <w:tl2br w:val="nil"/>
              <w:tr2bl w:val="nil"/>
            </w:tcBorders>
            <w:vAlign w:val="center"/>
          </w:tcPr>
          <w:p w14:paraId="3A94B71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3B2C798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180C6E0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7963CEC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监理单位发现施工单位未按照专项施工方案实施，未要求其整改或者停工的</w:t>
            </w:r>
          </w:p>
        </w:tc>
        <w:tc>
          <w:tcPr>
            <w:tcW w:w="1016" w:type="dxa"/>
            <w:tcBorders>
              <w:tl2br w:val="nil"/>
              <w:tr2bl w:val="nil"/>
            </w:tcBorders>
            <w:vAlign w:val="center"/>
          </w:tcPr>
          <w:p w14:paraId="099FCA5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EFE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E2C97C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8E8415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9D07A5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4B18B256">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21C9DB1">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EAFE687">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第十九条　监理单位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门。</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第三十六条　监理单位有下列行为之一的，依照《中华人民共和国安全生产法》《建设工程安全生产管理条例》对单位进行处罚；对直接负责的主管人员和其他直接责任人员处1000元以上5000元以下的罚款：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（三）施工单位拒不整改或者不停止施工时，未向建设单位和工程所在地住房城乡建设主管部门报告的。</w:t>
            </w:r>
          </w:p>
        </w:tc>
        <w:tc>
          <w:tcPr>
            <w:tcW w:w="926" w:type="dxa"/>
            <w:vMerge w:val="continue"/>
            <w:tcBorders>
              <w:tl2br w:val="nil"/>
              <w:tr2bl w:val="nil"/>
            </w:tcBorders>
            <w:vAlign w:val="center"/>
          </w:tcPr>
          <w:p w14:paraId="0F41E17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5EC2484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44C85C9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02D1B38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监理单位在施工单位拒不整改或者不停止施工时，未向建设单位和工程所在地住房城乡建设主管部门报告的。</w:t>
            </w:r>
          </w:p>
        </w:tc>
        <w:tc>
          <w:tcPr>
            <w:tcW w:w="1016" w:type="dxa"/>
            <w:tcBorders>
              <w:tl2br w:val="nil"/>
              <w:tr2bl w:val="nil"/>
            </w:tcBorders>
            <w:vAlign w:val="center"/>
          </w:tcPr>
          <w:p w14:paraId="6BC02F9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A318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279295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78B47B58">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21AB49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1934440">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2A1D4ACB">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79E478DF">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第十八条　监理单位应当结合危大工程专项施工方案编制监理实施细则，并对危大工程施工实施专项巡视检查。</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第三十七条　监理单位有下列行为之一的，责令限期改正，并处1万元以上3万元以下的罚款；对直接负责的主管人员和其他直接责任人员处1000元以上5000元以下的罚款：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（一）未按照本规定编制监理实施细则的；</w:t>
            </w:r>
          </w:p>
        </w:tc>
        <w:tc>
          <w:tcPr>
            <w:tcW w:w="926" w:type="dxa"/>
            <w:vMerge w:val="continue"/>
            <w:tcBorders>
              <w:tl2br w:val="nil"/>
              <w:tr2bl w:val="nil"/>
            </w:tcBorders>
            <w:vAlign w:val="center"/>
          </w:tcPr>
          <w:p w14:paraId="7A2B5C0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CB916C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5D2A2F0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276E80C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监理单位未按照本规定编制危大工程监理实施细则的</w:t>
            </w:r>
          </w:p>
        </w:tc>
        <w:tc>
          <w:tcPr>
            <w:tcW w:w="1016" w:type="dxa"/>
            <w:tcBorders>
              <w:tl2br w:val="nil"/>
              <w:tr2bl w:val="nil"/>
            </w:tcBorders>
            <w:vAlign w:val="center"/>
          </w:tcPr>
          <w:p w14:paraId="082EEE5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28916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ABEB78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03CD358">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93E012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5189B76">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214BA7C4">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52679F4B">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第十八条　监理单位应当结合危大工程专项施工方案编制监理实施细则，并对危大工程施工实施专项巡视检查。</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第三十七条　监理单位有下列行为之一的，责令限期改正，并处1万元以上3万元以下的罚款；对直接负责的主管人员和其他直接责任人员处1000元以上5000元以下的罚款：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（二）未对危大工程施工实施专项巡视检查的；</w:t>
            </w:r>
          </w:p>
        </w:tc>
        <w:tc>
          <w:tcPr>
            <w:tcW w:w="926" w:type="dxa"/>
            <w:vMerge w:val="continue"/>
            <w:tcBorders>
              <w:tl2br w:val="nil"/>
              <w:tr2bl w:val="nil"/>
            </w:tcBorders>
            <w:vAlign w:val="center"/>
          </w:tcPr>
          <w:p w14:paraId="04B679A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7D47099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3322C35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5CB0907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监理单位未对危大工程施工实施专项巡视检查的</w:t>
            </w:r>
          </w:p>
        </w:tc>
        <w:tc>
          <w:tcPr>
            <w:tcW w:w="1016" w:type="dxa"/>
            <w:tcBorders>
              <w:tl2br w:val="nil"/>
              <w:tr2bl w:val="nil"/>
            </w:tcBorders>
            <w:vAlign w:val="center"/>
          </w:tcPr>
          <w:p w14:paraId="4515695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1BAC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4DE29A4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3539B49">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AB80608">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E2A39D5">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DDEF258">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2F511588">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第二十一条　对于按照规定需要验收的危大工程，施工单位、监理单位应当组织相关人员进行验收。验收合格的，经施工单位项目技术负责人及总监理工程师签字确认后，方可进入下一道工序。</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第三十七条　监理单位有下列行为之一的，责令限期改正，并处1万元以上3万元以下的罚款；对直接负责的主管人员和其他直接责任人员处1000元以上5000元以下的罚款：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（三）未按照本规定参与组织危大工程验收的；</w:t>
            </w:r>
          </w:p>
        </w:tc>
        <w:tc>
          <w:tcPr>
            <w:tcW w:w="926" w:type="dxa"/>
            <w:vMerge w:val="continue"/>
            <w:tcBorders>
              <w:tl2br w:val="nil"/>
              <w:tr2bl w:val="nil"/>
            </w:tcBorders>
            <w:vAlign w:val="center"/>
          </w:tcPr>
          <w:p w14:paraId="70FA921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A7E1D1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3388D55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7760048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监理单位未按照本规定参与组织危大工程验收的</w:t>
            </w:r>
          </w:p>
        </w:tc>
        <w:tc>
          <w:tcPr>
            <w:tcW w:w="1016" w:type="dxa"/>
            <w:tcBorders>
              <w:tl2br w:val="nil"/>
              <w:tr2bl w:val="nil"/>
            </w:tcBorders>
            <w:vAlign w:val="center"/>
          </w:tcPr>
          <w:p w14:paraId="1015436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7CF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C41D6D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65A8B6EF">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368F062">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274E1F4">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172A232">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78BAE47D">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第二十四条　施工、监理单位应当建立危大工程安全管理档案。</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第三十七条　监理单位有下列行为之一的，责令限期改正，并处1万元以上3万元以下的罚款；对直接负责的主管人员和其他直接责任人员处1000元以上5000元以下的罚款：</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（四）未按照本规定建立危大工程安全管理档案的。</w:t>
            </w:r>
          </w:p>
        </w:tc>
        <w:tc>
          <w:tcPr>
            <w:tcW w:w="926" w:type="dxa"/>
            <w:vMerge w:val="continue"/>
            <w:tcBorders>
              <w:tl2br w:val="nil"/>
              <w:tr2bl w:val="nil"/>
            </w:tcBorders>
            <w:vAlign w:val="center"/>
          </w:tcPr>
          <w:p w14:paraId="2FB3538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ACF095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35429FC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17145B7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监理单位未按照本规定建立危大工程安全管理档案的</w:t>
            </w:r>
          </w:p>
        </w:tc>
        <w:tc>
          <w:tcPr>
            <w:tcW w:w="1016" w:type="dxa"/>
            <w:tcBorders>
              <w:tl2br w:val="nil"/>
              <w:tr2bl w:val="nil"/>
            </w:tcBorders>
            <w:vAlign w:val="center"/>
          </w:tcPr>
          <w:p w14:paraId="124E7F7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3FC5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29250D8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71CE8B7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4B3662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1E2D5A8">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D9ABE32">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0696750">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第二十条第一款　对于按照规定需要进行第三方监测的危大工程，建设单位应当委托具有相应勘察资质的单位进行监测。</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第三十八条　监测单位有下列行为之一的，责令限期改正，并处1万元以上3万元以下的罚款；对直接负责的主管人员和其他直接责任人员处1000元以上5000元以下的罚款：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（一）未取得相应勘察资质从事第三方监测的；</w:t>
            </w:r>
          </w:p>
        </w:tc>
        <w:tc>
          <w:tcPr>
            <w:tcW w:w="926" w:type="dxa"/>
            <w:vMerge w:val="continue"/>
            <w:tcBorders>
              <w:tl2br w:val="nil"/>
              <w:tr2bl w:val="nil"/>
            </w:tcBorders>
            <w:vAlign w:val="center"/>
          </w:tcPr>
          <w:p w14:paraId="0DFD6F5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C1B217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0AFBC80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4842A32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监测单位未取得相应勘察资质从事第三方监测的</w:t>
            </w:r>
          </w:p>
        </w:tc>
        <w:tc>
          <w:tcPr>
            <w:tcW w:w="1016" w:type="dxa"/>
            <w:tcBorders>
              <w:tl2br w:val="nil"/>
              <w:tr2bl w:val="nil"/>
            </w:tcBorders>
            <w:vAlign w:val="center"/>
          </w:tcPr>
          <w:p w14:paraId="13DF4DE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09DA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2B2735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69E31AF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C4CE88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EA5B23B">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32F44FA4">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E02B7F4">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第二十条第二款　监测单位应当编制监测方案。监测方案由监测单位技术负责人审核签字并加盖单位公章，报送监理单位后方可实施。</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第三十八条　监测单位有下列行为之一的，责令限期改正，并处1万元以上3万元以下的罚款；对直接负责的主管人员和其他直接责任人员处1000元以上5000元以下的罚款：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（二）未按照本规定编制监测方案的；</w:t>
            </w:r>
          </w:p>
        </w:tc>
        <w:tc>
          <w:tcPr>
            <w:tcW w:w="926" w:type="dxa"/>
            <w:vMerge w:val="continue"/>
            <w:tcBorders>
              <w:tl2br w:val="nil"/>
              <w:tr2bl w:val="nil"/>
            </w:tcBorders>
            <w:vAlign w:val="center"/>
          </w:tcPr>
          <w:p w14:paraId="08C28EF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1262787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0BEEB0C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5E6A628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监测单位未按照本规定编制监测方案的</w:t>
            </w:r>
          </w:p>
        </w:tc>
        <w:tc>
          <w:tcPr>
            <w:tcW w:w="1016" w:type="dxa"/>
            <w:tcBorders>
              <w:tl2br w:val="nil"/>
              <w:tr2bl w:val="nil"/>
            </w:tcBorders>
            <w:vAlign w:val="center"/>
          </w:tcPr>
          <w:p w14:paraId="0CB4C37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38537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B6B9E5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3ECEBB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012F5AD">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9A0C3A2">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238C340">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1045D250">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第二十条第三款  监测单位应当按照监测方案开展监测，及时向建设单位报送监测成果，并对监测成果负责；发现异常时，及时向建设、设计、施工、监理单位报告，建设单位应当立即组织相关单位采取处置措施。</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第三十八条　监测单位有下列行为之一的，责令限期改正，并处1万元以上3万元以下的罚款；对直接负责的主管人员和其他直接责任人员处1000元以上5000元以下的罚款：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（三）未按照监测方案开展监测的；</w:t>
            </w:r>
          </w:p>
        </w:tc>
        <w:tc>
          <w:tcPr>
            <w:tcW w:w="926" w:type="dxa"/>
            <w:vMerge w:val="continue"/>
            <w:tcBorders>
              <w:tl2br w:val="nil"/>
              <w:tr2bl w:val="nil"/>
            </w:tcBorders>
            <w:vAlign w:val="center"/>
          </w:tcPr>
          <w:p w14:paraId="747C3D2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50AC8E0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515BDDA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7FB3800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监测单位未按照监测方案开展监测的</w:t>
            </w:r>
          </w:p>
        </w:tc>
        <w:tc>
          <w:tcPr>
            <w:tcW w:w="1016" w:type="dxa"/>
            <w:tcBorders>
              <w:tl2br w:val="nil"/>
              <w:tr2bl w:val="nil"/>
            </w:tcBorders>
            <w:vAlign w:val="center"/>
          </w:tcPr>
          <w:p w14:paraId="45583F5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2B8B8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890A99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67BC18E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762A4C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DBC6597">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CC20E10">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0443F42E">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第二十条第三款  监测单位应当按照监测方案开展监测，及时向建设单位报送监测成果，并对监测成果负责；发现异常时，及时向建设、设计、施工、监理单位报告，建设单位应当立即组织相关单位采取处置措施。</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 xml:space="preserve">第三十八条　监测单位有下列行为之一的，责令限期改正，并处1万元以上3万元以下的罚款；对直接负责的主管人员和其他直接责任人员处1000元以上5000元以下的罚款：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（四）发现异常未及时报告的。</w:t>
            </w:r>
          </w:p>
        </w:tc>
        <w:tc>
          <w:tcPr>
            <w:tcW w:w="926" w:type="dxa"/>
            <w:vMerge w:val="continue"/>
            <w:tcBorders>
              <w:tl2br w:val="nil"/>
              <w:tr2bl w:val="nil"/>
            </w:tcBorders>
            <w:vAlign w:val="center"/>
          </w:tcPr>
          <w:p w14:paraId="1B2802F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292A257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41C625C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3783A24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监测单位发现异常未及时向建设、设计、施工、监理单位报告的</w:t>
            </w:r>
          </w:p>
        </w:tc>
        <w:tc>
          <w:tcPr>
            <w:tcW w:w="1016" w:type="dxa"/>
            <w:tcBorders>
              <w:tl2br w:val="nil"/>
              <w:tr2bl w:val="nil"/>
            </w:tcBorders>
            <w:vAlign w:val="center"/>
          </w:tcPr>
          <w:p w14:paraId="149F8BE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431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2B9202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4C1889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87A0874">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5DF3611">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35B9192F">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7FEC2363">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【部门规章】《危险性较大的分部分项工程安全管理规定》(住建部37号令）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第十条　施工单位应当在危大工程施工前组织工程技术人员编制专项施工方案。</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第三十二条　施工单位未按照本规定编制并审核危大工程专项施工方案的，依照《建设工程安全生产管理条例》对单位进行处罚，并暂扣安全生产许可证30日；对直接负责的主管人员和其他直接责任人员处1000元以上5000元以下的罚款。</w:t>
            </w:r>
          </w:p>
        </w:tc>
        <w:tc>
          <w:tcPr>
            <w:tcW w:w="926" w:type="dxa"/>
            <w:vMerge w:val="continue"/>
            <w:tcBorders>
              <w:tl2br w:val="nil"/>
              <w:tr2bl w:val="nil"/>
            </w:tcBorders>
            <w:vAlign w:val="center"/>
          </w:tcPr>
          <w:p w14:paraId="4869554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F847B9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5897304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25B930A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施工单位未按照本规定编制并审核危大工程专项施工方案的</w:t>
            </w:r>
          </w:p>
        </w:tc>
        <w:tc>
          <w:tcPr>
            <w:tcW w:w="1016" w:type="dxa"/>
            <w:tcBorders>
              <w:tl2br w:val="nil"/>
              <w:tr2bl w:val="nil"/>
            </w:tcBorders>
            <w:vAlign w:val="center"/>
          </w:tcPr>
          <w:p w14:paraId="35FA44F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6619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2609FE6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C854CA3">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E5F8FA3">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F3C6F50">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575B3BB9">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4778BE55">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【规章】《建筑施工企业主要负责人、项目负责人和专职安全生产管理人员安全生产管理规定》（住房和城乡建设部令第17号）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第二十二条　建筑施工企业安全生产管理机构和工程项目应当按规定配备相应数量和相关专业的专职安全生产管理人员。危险性较大的分部分项工程施工时，应当安排专职安全生产管理人员现场监督。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第三十条　建筑施工企业有下列行为之一的，由县级以上人民政府住房城乡建设主管部门责令限期改正;逾期未改正的，责令停业整顿，并处2万元以下的罚款;导致不具备《安全生产许可证条例》规定的安全生产条件的，应当依法暂扣或者吊销安全生产许可证：</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(三)危险性较大的分部分项工程施工时未安排专职安全生产管理人员现场监督的;</w:t>
            </w:r>
          </w:p>
        </w:tc>
        <w:tc>
          <w:tcPr>
            <w:tcW w:w="926" w:type="dxa"/>
            <w:vMerge w:val="continue"/>
            <w:tcBorders>
              <w:tl2br w:val="nil"/>
              <w:tr2bl w:val="nil"/>
            </w:tcBorders>
            <w:vAlign w:val="center"/>
          </w:tcPr>
          <w:p w14:paraId="37B62D6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1D7B37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79886B6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0C8F3CD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对建筑施工企业危险性较大的分部分项工程施工时未安排专职安全生产管理人员现场监督的行为进行处罚</w:t>
            </w:r>
          </w:p>
        </w:tc>
        <w:tc>
          <w:tcPr>
            <w:tcW w:w="1016" w:type="dxa"/>
            <w:tcBorders>
              <w:tl2br w:val="nil"/>
              <w:tr2bl w:val="nil"/>
            </w:tcBorders>
            <w:vAlign w:val="center"/>
          </w:tcPr>
          <w:p w14:paraId="77DD13E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2CA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7222F62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EC8F6EA">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D35543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8C5CA82">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CDB5D38">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tcBorders>
              <w:tl2br w:val="nil"/>
              <w:tr2bl w:val="nil"/>
            </w:tcBorders>
            <w:shd w:val="clear" w:color="auto" w:fill="auto"/>
            <w:vAlign w:val="center"/>
          </w:tcPr>
          <w:p w14:paraId="53D7A5E1">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【地方性法规】《江苏省安全生产条例》　</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二十四条生产经营单位进行爆破、吊装、危险场所动火作业、高处作业、有限空间作业、临近高压输电线路作业、建筑物和构筑物拆除、大型检修等危险作业，应当执行有关危险作业管理制度，并履行下列职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（一）根据危害风险制定作业方案、安全防范措施和应急处置方案；</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（二）确认现场作业条件符合安全作业要求；</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（三）确认作业单位的作业资质、作业人员的上岗资格以及配备的劳动防护用品符合安全作业要求；</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（四）配备相应的安全设施，采取安全防范措施，设置作业现场的安全区域，确定专人现场统一指挥和监督；</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（五）在危险作业前向作业人员说明危险因素、作业安全要求和应急措施，并经双方签字确认；</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（六）发现直接危及人身安全的紧急情况时，采取应急措施，停止作业，撤出人员。</w:t>
            </w:r>
            <w:r>
              <w:rPr>
                <w:rFonts w:hint="eastAsia" w:ascii="仿宋_GB2312" w:hAnsi="仿宋_GB2312" w:eastAsia="仿宋_GB2312" w:cs="仿宋_GB2312"/>
                <w:b w:val="0"/>
                <w:bCs w:val="0"/>
                <w:color w:val="000000" w:themeColor="text1"/>
                <w:sz w:val="21"/>
                <w:szCs w:val="21"/>
                <w14:textFill>
                  <w14:solidFill>
                    <w14:schemeClr w14:val="tx1"/>
                  </w14:solidFill>
                </w14:textFill>
              </w:rPr>
              <w:br w:type="textWrapping"/>
            </w:r>
            <w:r>
              <w:rPr>
                <w:rFonts w:hint="eastAsia" w:ascii="仿宋_GB2312" w:hAnsi="仿宋_GB2312" w:eastAsia="仿宋_GB2312" w:cs="仿宋_GB2312"/>
                <w:b w:val="0"/>
                <w:bCs w:val="0"/>
                <w:color w:val="000000" w:themeColor="text1"/>
                <w:sz w:val="21"/>
                <w:szCs w:val="21"/>
                <w14:textFill>
                  <w14:solidFill>
                    <w14:schemeClr w14:val="tx1"/>
                  </w14:solidFill>
                </w14:textFill>
              </w:rPr>
              <w:t>第五十一条  生产经营单位违反本条例第二十四条第一款规定，进行危险作业未按照规定履行职责的，责令限期改正，可以处二万元以上十万元以下罚款；逾期未改正的，责令停产停业整顿，并处十万元以上二十万元以下罚款，对其直接负责的主管人员和其他直接责任人员处二万元以上五万元以下罚款；构成犯罪的，依法追究刑事责任。</w:t>
            </w:r>
          </w:p>
        </w:tc>
        <w:tc>
          <w:tcPr>
            <w:tcW w:w="926" w:type="dxa"/>
            <w:vMerge w:val="continue"/>
            <w:tcBorders>
              <w:tl2br w:val="nil"/>
              <w:tr2bl w:val="nil"/>
            </w:tcBorders>
            <w:vAlign w:val="center"/>
          </w:tcPr>
          <w:p w14:paraId="6E0AD23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154F7E1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76FE2D6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82" w:type="dxa"/>
            <w:tcBorders>
              <w:tl2br w:val="nil"/>
              <w:tr2bl w:val="nil"/>
            </w:tcBorders>
            <w:shd w:val="clear" w:color="auto" w:fill="auto"/>
            <w:vAlign w:val="center"/>
          </w:tcPr>
          <w:p w14:paraId="45C322E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对施工安全防护措施不符合建设工程安全标准的处罚</w:t>
            </w:r>
          </w:p>
        </w:tc>
        <w:tc>
          <w:tcPr>
            <w:tcW w:w="1016" w:type="dxa"/>
            <w:tcBorders>
              <w:tl2br w:val="nil"/>
              <w:tr2bl w:val="nil"/>
            </w:tcBorders>
            <w:vAlign w:val="center"/>
          </w:tcPr>
          <w:p w14:paraId="50EA48E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BFFD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restart"/>
            <w:tcBorders>
              <w:tl2br w:val="nil"/>
              <w:tr2bl w:val="nil"/>
            </w:tcBorders>
            <w:vAlign w:val="center"/>
          </w:tcPr>
          <w:p w14:paraId="0EF15AF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2</w:t>
            </w:r>
          </w:p>
        </w:tc>
        <w:tc>
          <w:tcPr>
            <w:tcW w:w="1324" w:type="dxa"/>
            <w:vMerge w:val="restart"/>
            <w:tcBorders>
              <w:tl2br w:val="nil"/>
              <w:tr2bl w:val="nil"/>
            </w:tcBorders>
            <w:vAlign w:val="center"/>
          </w:tcPr>
          <w:p w14:paraId="7D494C5B">
            <w:pPr>
              <w:keepNext w:val="0"/>
              <w:keepLines w:val="0"/>
              <w:widowControl w:val="0"/>
              <w:suppressLineNumbers w:val="0"/>
              <w:overflowPunct w:val="0"/>
              <w:autoSpaceDE w:val="0"/>
              <w:autoSpaceDN w:val="0"/>
              <w:spacing w:before="0" w:beforeAutospacing="0" w:after="0" w:afterAutospacing="0"/>
              <w:ind w:left="-2" w:leftChars="-1" w:right="0" w:rightChars="0" w:firstLine="63" w:firstLineChars="3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对工程质量监督管理的行政检查</w:t>
            </w:r>
          </w:p>
        </w:tc>
        <w:tc>
          <w:tcPr>
            <w:tcW w:w="794" w:type="dxa"/>
            <w:vMerge w:val="restart"/>
            <w:tcBorders>
              <w:tl2br w:val="nil"/>
              <w:tr2bl w:val="nil"/>
            </w:tcBorders>
            <w:vAlign w:val="center"/>
          </w:tcPr>
          <w:p w14:paraId="41F5735F">
            <w:pPr>
              <w:keepNext w:val="0"/>
              <w:keepLines w:val="0"/>
              <w:widowControl w:val="0"/>
              <w:suppressLineNumbers w:val="0"/>
              <w:overflowPunct w:val="0"/>
              <w:autoSpaceDE w:val="0"/>
              <w:autoSpaceDN w:val="0"/>
              <w:spacing w:before="0" w:beforeAutospacing="0" w:after="0" w:afterAutospacing="0"/>
              <w:ind w:left="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苏州市吴中区住建局</w:t>
            </w:r>
          </w:p>
        </w:tc>
        <w:tc>
          <w:tcPr>
            <w:tcW w:w="872" w:type="dxa"/>
            <w:vMerge w:val="restart"/>
            <w:tcBorders>
              <w:tl2br w:val="nil"/>
              <w:tr2bl w:val="nil"/>
            </w:tcBorders>
            <w:vAlign w:val="center"/>
          </w:tcPr>
          <w:p w14:paraId="0954C336">
            <w:pPr>
              <w:keepNext w:val="0"/>
              <w:keepLines w:val="0"/>
              <w:widowControl w:val="0"/>
              <w:suppressLineNumbers w:val="0"/>
              <w:overflowPunct w:val="0"/>
              <w:autoSpaceDE w:val="0"/>
              <w:autoSpaceDN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苏州市吴中区建设工程质量监督站</w:t>
            </w:r>
          </w:p>
        </w:tc>
        <w:tc>
          <w:tcPr>
            <w:tcW w:w="1010" w:type="dxa"/>
            <w:vMerge w:val="restart"/>
            <w:tcBorders>
              <w:tl2br w:val="nil"/>
              <w:tr2bl w:val="nil"/>
            </w:tcBorders>
            <w:vAlign w:val="center"/>
          </w:tcPr>
          <w:p w14:paraId="0B073D24">
            <w:pPr>
              <w:keepNext w:val="0"/>
              <w:keepLines w:val="0"/>
              <w:widowControl w:val="0"/>
              <w:suppressLineNumbers w:val="0"/>
              <w:overflowPunct w:val="0"/>
              <w:autoSpaceDE w:val="0"/>
              <w:autoSpaceDN w:val="0"/>
              <w:spacing w:before="0" w:beforeAutospacing="0" w:after="0" w:afterAutospacing="0" w:line="320" w:lineRule="exact"/>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建筑业</w:t>
            </w:r>
          </w:p>
        </w:tc>
        <w:tc>
          <w:tcPr>
            <w:tcW w:w="4922" w:type="dxa"/>
            <w:vMerge w:val="restart"/>
            <w:tcBorders>
              <w:tl2br w:val="nil"/>
              <w:tr2bl w:val="nil"/>
            </w:tcBorders>
            <w:shd w:val="clear" w:color="auto" w:fill="auto"/>
            <w:vAlign w:val="center"/>
          </w:tcPr>
          <w:p w14:paraId="612759D9">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shd w:val="clear" w:fill="FFFFFF"/>
                <w:lang w:val="en-US"/>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0"/>
                <w:sz w:val="21"/>
                <w:szCs w:val="21"/>
                <w:shd w:val="clear" w:fill="FFFFFF"/>
                <w:lang w:val="en-US" w:eastAsia="zh-CN" w:bidi="ar"/>
                <w14:textFill>
                  <w14:solidFill>
                    <w14:schemeClr w14:val="tx1"/>
                  </w14:solidFill>
                </w14:textFill>
              </w:rPr>
              <w:t xml:space="preserve">法规】建设工程质量管理条例（国务院令第279号）（2019修正） </w:t>
            </w:r>
          </w:p>
          <w:p w14:paraId="7C72C588">
            <w:pPr>
              <w:keepNext w:val="0"/>
              <w:keepLines w:val="0"/>
              <w:widowControl/>
              <w:suppressLineNumbers w:val="0"/>
              <w:autoSpaceDE w:val="0"/>
              <w:autoSpaceDN w:val="0"/>
              <w:spacing w:before="0" w:beforeAutospacing="0" w:after="0" w:afterAutospacing="0" w:line="240" w:lineRule="exact"/>
              <w:ind w:left="0" w:right="0" w:firstLine="420" w:firstLineChars="200"/>
              <w:jc w:val="left"/>
              <w:rPr>
                <w:rFonts w:hint="eastAsia" w:ascii="仿宋_GB2312" w:hAnsi="仿宋_GB2312" w:eastAsia="仿宋_GB2312" w:cs="仿宋_GB2312"/>
                <w:b w:val="0"/>
                <w:bCs w:val="0"/>
                <w:color w:val="000000" w:themeColor="text1"/>
                <w:kern w:val="0"/>
                <w:sz w:val="21"/>
                <w:szCs w:val="21"/>
                <w:shd w:val="clear" w:fill="FFFFFF"/>
                <w:lang w:val="en-US"/>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shd w:val="clear" w:fill="FFFFFF"/>
                <w:lang w:val="en-US" w:eastAsia="zh-CN" w:bidi="ar"/>
                <w14:textFill>
                  <w14:solidFill>
                    <w14:schemeClr w14:val="tx1"/>
                  </w14:solidFill>
                </w14:textFill>
              </w:rPr>
              <w:t>第四十三条第一款  国家实行建设工程质量监督管理制度。</w:t>
            </w:r>
          </w:p>
          <w:p w14:paraId="79467225">
            <w:pPr>
              <w:keepNext w:val="0"/>
              <w:keepLines w:val="0"/>
              <w:widowControl/>
              <w:suppressLineNumbers w:val="0"/>
              <w:autoSpaceDE w:val="0"/>
              <w:autoSpaceDN w:val="0"/>
              <w:spacing w:before="0" w:beforeAutospacing="0" w:after="0" w:afterAutospacing="0" w:line="240" w:lineRule="exact"/>
              <w:ind w:left="0" w:right="0" w:firstLine="420" w:firstLineChars="200"/>
              <w:jc w:val="left"/>
              <w:rPr>
                <w:rFonts w:hint="eastAsia" w:ascii="仿宋_GB2312" w:hAnsi="仿宋_GB2312" w:eastAsia="仿宋_GB2312" w:cs="仿宋_GB2312"/>
                <w:b w:val="0"/>
                <w:bCs w:val="0"/>
                <w:color w:val="000000" w:themeColor="text1"/>
                <w:kern w:val="0"/>
                <w:sz w:val="21"/>
                <w:szCs w:val="21"/>
                <w:lang w:val="en-US"/>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shd w:val="clear" w:fill="FFFFFF"/>
                <w:lang w:val="en-US" w:eastAsia="zh-CN" w:bidi="ar"/>
                <w14:textFill>
                  <w14:solidFill>
                    <w14:schemeClr w14:val="tx1"/>
                  </w14:solidFill>
                </w14:textFill>
              </w:rPr>
              <w:t>第三款  县级以上地方人民政府建设行政主管部门对本行政区域内的建设工程质量实施监督管理。县级以上地方人民政府交通、水利等有关部门在各自的职责范围内，负责对本行政区域内的专业建设工程质量的监督管理。</w:t>
            </w:r>
            <w:r>
              <w:rPr>
                <w:rFonts w:hint="eastAsia" w:ascii="仿宋_GB2312" w:hAnsi="仿宋_GB2312" w:eastAsia="仿宋_GB2312" w:cs="仿宋_GB2312"/>
                <w:b w:val="0"/>
                <w:bCs w:val="0"/>
                <w:color w:val="000000" w:themeColor="text1"/>
                <w:kern w:val="0"/>
                <w:sz w:val="21"/>
                <w:szCs w:val="21"/>
                <w:shd w:val="clear" w:fill="FFFFFF"/>
                <w:lang w:val="en-US" w:eastAsia="zh-CN" w:bidi="ar"/>
                <w14:textFill>
                  <w14:solidFill>
                    <w14:schemeClr w14:val="tx1"/>
                  </w14:solidFill>
                </w14:textFill>
              </w:rPr>
              <w:br w:type="textWrapping"/>
            </w: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 xml:space="preserve">    </w:t>
            </w:r>
            <w:r>
              <w:rPr>
                <w:rFonts w:hint="eastAsia" w:ascii="仿宋_GB2312" w:hAnsi="仿宋_GB2312" w:eastAsia="仿宋_GB2312" w:cs="仿宋_GB2312"/>
                <w:b w:val="0"/>
                <w:bCs w:val="0"/>
                <w:color w:val="000000" w:themeColor="text1"/>
                <w:kern w:val="0"/>
                <w:sz w:val="21"/>
                <w:szCs w:val="21"/>
                <w:shd w:val="clear" w:fill="FFFFFF"/>
                <w:lang w:val="en-US" w:eastAsia="zh-CN" w:bidi="ar"/>
                <w14:textFill>
                  <w14:solidFill>
                    <w14:schemeClr w14:val="tx1"/>
                  </w14:solidFill>
                </w14:textFill>
              </w:rPr>
              <w:t>第四十六条第一款  建设工程质量监督管理，可以由建设行政主管部门或者其他有关部门委托的建设工程质量监督机构具体实施。</w:t>
            </w:r>
          </w:p>
          <w:p w14:paraId="1BCFD0F5">
            <w:pPr>
              <w:pStyle w:val="4"/>
              <w:keepNext w:val="0"/>
              <w:keepLines w:val="0"/>
              <w:widowControl w:val="0"/>
              <w:suppressLineNumbers w:val="0"/>
              <w:spacing w:before="0" w:beforeAutospacing="0" w:after="120" w:afterAutospacing="0"/>
              <w:ind w:left="0" w:leftChars="0" w:right="0" w:rightChars="0" w:firstLine="361" w:firstLineChars="0"/>
              <w:jc w:val="left"/>
              <w:rPr>
                <w:rFonts w:hint="eastAsia" w:ascii="仿宋_GB2312" w:hAnsi="仿宋_GB2312" w:eastAsia="仿宋_GB2312" w:cs="仿宋_GB2312"/>
                <w:b w:val="0"/>
                <w:bCs w:val="0"/>
                <w:color w:val="000000" w:themeColor="text1"/>
                <w:sz w:val="21"/>
                <w:szCs w:val="21"/>
                <w:lang w:val="en-US" w:eastAsia="zh-CN"/>
                <w14:textFill>
                  <w14:solidFill>
                    <w14:schemeClr w14:val="tx1"/>
                  </w14:solidFill>
                </w14:textFill>
              </w:rPr>
            </w:pPr>
          </w:p>
        </w:tc>
        <w:tc>
          <w:tcPr>
            <w:tcW w:w="926" w:type="dxa"/>
            <w:vMerge w:val="restart"/>
            <w:tcBorders>
              <w:tl2br w:val="nil"/>
              <w:tr2bl w:val="nil"/>
            </w:tcBorders>
            <w:vAlign w:val="center"/>
          </w:tcPr>
          <w:p w14:paraId="7E25B954">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现场检查、书面检查</w:t>
            </w:r>
          </w:p>
        </w:tc>
        <w:tc>
          <w:tcPr>
            <w:tcW w:w="1104" w:type="dxa"/>
            <w:vMerge w:val="restart"/>
            <w:tcBorders>
              <w:tl2br w:val="nil"/>
              <w:tr2bl w:val="nil"/>
            </w:tcBorders>
            <w:vAlign w:val="center"/>
          </w:tcPr>
          <w:p w14:paraId="69AED2CC">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无明确检查频次要求，一般在建设工程施工期内</w:t>
            </w:r>
          </w:p>
        </w:tc>
        <w:tc>
          <w:tcPr>
            <w:tcW w:w="1296" w:type="dxa"/>
            <w:tcBorders>
              <w:tl2br w:val="nil"/>
              <w:tr2bl w:val="nil"/>
            </w:tcBorders>
            <w:vAlign w:val="center"/>
          </w:tcPr>
          <w:p w14:paraId="46070225">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320217037000</w:t>
            </w:r>
          </w:p>
        </w:tc>
        <w:tc>
          <w:tcPr>
            <w:tcW w:w="1282" w:type="dxa"/>
            <w:tcBorders>
              <w:tl2br w:val="nil"/>
              <w:tr2bl w:val="nil"/>
            </w:tcBorders>
            <w:shd w:val="clear" w:color="auto" w:fill="auto"/>
            <w:vAlign w:val="center"/>
          </w:tcPr>
          <w:p w14:paraId="2E9B6D28">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对工程监理单位将不合格的建设工程、建筑材料、建筑构配件和设备按照合格签字的处罚</w:t>
            </w:r>
          </w:p>
        </w:tc>
        <w:tc>
          <w:tcPr>
            <w:tcW w:w="1016" w:type="dxa"/>
            <w:tcBorders>
              <w:tl2br w:val="nil"/>
              <w:tr2bl w:val="nil"/>
            </w:tcBorders>
            <w:vAlign w:val="center"/>
          </w:tcPr>
          <w:p w14:paraId="03329856">
            <w:pPr>
              <w:keepNext w:val="0"/>
              <w:keepLines w:val="0"/>
              <w:widowControl w:val="0"/>
              <w:suppressLineNumbers w:val="0"/>
              <w:overflowPunct w:val="0"/>
              <w:autoSpaceDE w:val="0"/>
              <w:autoSpaceDN w:val="0"/>
              <w:spacing w:before="0" w:beforeAutospacing="0" w:after="0" w:afterAutospacing="0"/>
              <w:ind w:left="-2" w:leftChars="-1" w:right="0" w:rightChars="0" w:firstLine="63" w:firstLineChars="3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074D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81C1CE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A5338F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07DD2FE">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78A6819">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F097DD9">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51B61B7D">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33CE5B5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3C1D175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6872D35D">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 xml:space="preserve">320217042000 </w:t>
            </w:r>
          </w:p>
        </w:tc>
        <w:tc>
          <w:tcPr>
            <w:tcW w:w="1282" w:type="dxa"/>
            <w:tcBorders>
              <w:tl2br w:val="nil"/>
              <w:tr2bl w:val="nil"/>
            </w:tcBorders>
            <w:shd w:val="clear" w:color="auto" w:fill="auto"/>
            <w:vAlign w:val="center"/>
          </w:tcPr>
          <w:p w14:paraId="3E2D4E3C">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对建筑业企业未依法履行工程质量保修义务或拖延履行保修义务的处罚</w:t>
            </w:r>
          </w:p>
        </w:tc>
        <w:tc>
          <w:tcPr>
            <w:tcW w:w="1016" w:type="dxa"/>
            <w:tcBorders>
              <w:tl2br w:val="nil"/>
              <w:tr2bl w:val="nil"/>
            </w:tcBorders>
            <w:vAlign w:val="center"/>
          </w:tcPr>
          <w:p w14:paraId="069C47D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2256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1204375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F71461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C4449B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61CBDC8">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3DCE8840">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5F68ED2F">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1A191B0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7573D3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0E39CAAE">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 xml:space="preserve">320217084000 </w:t>
            </w:r>
          </w:p>
        </w:tc>
        <w:tc>
          <w:tcPr>
            <w:tcW w:w="1282" w:type="dxa"/>
            <w:tcBorders>
              <w:tl2br w:val="nil"/>
              <w:tr2bl w:val="nil"/>
            </w:tcBorders>
            <w:shd w:val="clear" w:color="auto" w:fill="auto"/>
            <w:vAlign w:val="center"/>
          </w:tcPr>
          <w:p w14:paraId="5444859D">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对施工图设计文件未经审查或者审查不合格，建设单位擅自施工的处罚</w:t>
            </w:r>
          </w:p>
        </w:tc>
        <w:tc>
          <w:tcPr>
            <w:tcW w:w="1016" w:type="dxa"/>
            <w:tcBorders>
              <w:tl2br w:val="nil"/>
              <w:tr2bl w:val="nil"/>
            </w:tcBorders>
            <w:vAlign w:val="center"/>
          </w:tcPr>
          <w:p w14:paraId="421B2A4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ABD2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C7FDB6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EA6C84B">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6A216AA2">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0DCA201">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6865541B">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0D927CE1">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1B0D949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7E4BE70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3457D6F3">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320217181000</w:t>
            </w:r>
          </w:p>
        </w:tc>
        <w:tc>
          <w:tcPr>
            <w:tcW w:w="1282" w:type="dxa"/>
            <w:tcBorders>
              <w:tl2br w:val="nil"/>
              <w:tr2bl w:val="nil"/>
            </w:tcBorders>
            <w:shd w:val="clear" w:color="auto" w:fill="auto"/>
            <w:vAlign w:val="center"/>
          </w:tcPr>
          <w:p w14:paraId="781AA517">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对施工单位未对建筑材料、建筑构配件、设备和商品混凝土进行检验，或者未对涉及结构安全的试块、试件以及有关材料取样检测的处罚</w:t>
            </w:r>
          </w:p>
        </w:tc>
        <w:tc>
          <w:tcPr>
            <w:tcW w:w="1016" w:type="dxa"/>
            <w:tcBorders>
              <w:tl2br w:val="nil"/>
              <w:tr2bl w:val="nil"/>
            </w:tcBorders>
            <w:vAlign w:val="center"/>
          </w:tcPr>
          <w:p w14:paraId="7E205B8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51C40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2985302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F182360">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60ACBE13">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01A4339">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CA4CE75">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5EBFAB11">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574D100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50F142D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1965C2BC">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320217037000</w:t>
            </w:r>
          </w:p>
        </w:tc>
        <w:tc>
          <w:tcPr>
            <w:tcW w:w="1282" w:type="dxa"/>
            <w:tcBorders>
              <w:tl2br w:val="nil"/>
              <w:tr2bl w:val="nil"/>
            </w:tcBorders>
            <w:shd w:val="clear" w:color="auto" w:fill="auto"/>
            <w:vAlign w:val="center"/>
          </w:tcPr>
          <w:p w14:paraId="7F66EBD8">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对工程监理单位将不合格的建设工程、建筑材料、建筑构配件和设备按照合格签字的处罚</w:t>
            </w:r>
          </w:p>
        </w:tc>
        <w:tc>
          <w:tcPr>
            <w:tcW w:w="1016" w:type="dxa"/>
            <w:tcBorders>
              <w:tl2br w:val="nil"/>
              <w:tr2bl w:val="nil"/>
            </w:tcBorders>
            <w:vAlign w:val="center"/>
          </w:tcPr>
          <w:p w14:paraId="1DB9CB3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76FD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2697B2A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4C31ADB4">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DFB9A23">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D47A817">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57D23BC">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09F367F7">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10D451F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1FC2FA3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7CAE7BF8">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320217257000</w:t>
            </w:r>
          </w:p>
        </w:tc>
        <w:tc>
          <w:tcPr>
            <w:tcW w:w="1282" w:type="dxa"/>
            <w:tcBorders>
              <w:tl2br w:val="nil"/>
              <w:tr2bl w:val="nil"/>
            </w:tcBorders>
            <w:shd w:val="clear" w:color="auto" w:fill="auto"/>
            <w:vAlign w:val="center"/>
          </w:tcPr>
          <w:p w14:paraId="449BA680">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对建设单位未组织竣工验收擅自交付使用的处罚</w:t>
            </w:r>
          </w:p>
        </w:tc>
        <w:tc>
          <w:tcPr>
            <w:tcW w:w="1016" w:type="dxa"/>
            <w:tcBorders>
              <w:tl2br w:val="nil"/>
              <w:tr2bl w:val="nil"/>
            </w:tcBorders>
            <w:vAlign w:val="center"/>
          </w:tcPr>
          <w:p w14:paraId="264F98F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3196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8" w:hRule="atLeast"/>
        </w:trPr>
        <w:tc>
          <w:tcPr>
            <w:tcW w:w="536" w:type="dxa"/>
            <w:vMerge w:val="restart"/>
            <w:tcBorders>
              <w:tl2br w:val="nil"/>
              <w:tr2bl w:val="nil"/>
            </w:tcBorders>
            <w:vAlign w:val="center"/>
          </w:tcPr>
          <w:p w14:paraId="6E3B2BE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3</w:t>
            </w:r>
          </w:p>
        </w:tc>
        <w:tc>
          <w:tcPr>
            <w:tcW w:w="1324" w:type="dxa"/>
            <w:vMerge w:val="restart"/>
            <w:tcBorders>
              <w:tl2br w:val="nil"/>
              <w:tr2bl w:val="nil"/>
            </w:tcBorders>
            <w:vAlign w:val="center"/>
          </w:tcPr>
          <w:p w14:paraId="6AB471FA">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建筑劳务项目现场检查</w:t>
            </w:r>
          </w:p>
        </w:tc>
        <w:tc>
          <w:tcPr>
            <w:tcW w:w="794" w:type="dxa"/>
            <w:vMerge w:val="restart"/>
            <w:tcBorders>
              <w:tl2br w:val="nil"/>
              <w:tr2bl w:val="nil"/>
            </w:tcBorders>
            <w:vAlign w:val="center"/>
          </w:tcPr>
          <w:p w14:paraId="74EF345E">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苏州市吴中区住建局</w:t>
            </w:r>
          </w:p>
        </w:tc>
        <w:tc>
          <w:tcPr>
            <w:tcW w:w="872" w:type="dxa"/>
            <w:vMerge w:val="restart"/>
            <w:tcBorders>
              <w:tl2br w:val="nil"/>
              <w:tr2bl w:val="nil"/>
            </w:tcBorders>
            <w:vAlign w:val="center"/>
          </w:tcPr>
          <w:p w14:paraId="637F63E7">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建管处</w:t>
            </w:r>
          </w:p>
        </w:tc>
        <w:tc>
          <w:tcPr>
            <w:tcW w:w="1010" w:type="dxa"/>
            <w:vMerge w:val="restart"/>
            <w:tcBorders>
              <w:tl2br w:val="nil"/>
              <w:tr2bl w:val="nil"/>
            </w:tcBorders>
            <w:vAlign w:val="center"/>
          </w:tcPr>
          <w:p w14:paraId="5267810F">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建筑劳务企业（区属项目）</w:t>
            </w:r>
          </w:p>
        </w:tc>
        <w:tc>
          <w:tcPr>
            <w:tcW w:w="4922" w:type="dxa"/>
            <w:vMerge w:val="restart"/>
            <w:tcBorders>
              <w:tl2br w:val="nil"/>
              <w:tr2bl w:val="nil"/>
            </w:tcBorders>
            <w:shd w:val="clear" w:color="auto" w:fill="auto"/>
            <w:vAlign w:val="center"/>
          </w:tcPr>
          <w:p w14:paraId="50EA66BE">
            <w:pPr>
              <w:keepNext w:val="0"/>
              <w:keepLines w:val="0"/>
              <w:suppressLineNumbers w:val="0"/>
              <w:spacing w:before="0" w:beforeAutospacing="0" w:after="0" w:afterAutospacing="0"/>
              <w:ind w:left="0" w:right="0"/>
              <w:jc w:val="left"/>
              <w:rPr>
                <w:rFonts w:hint="eastAsia" w:ascii="Times New Roman" w:hAnsi="Times New Roman" w:eastAsia="方正仿宋_GBK"/>
                <w:kern w:val="0"/>
                <w:sz w:val="21"/>
                <w:szCs w:val="21"/>
                <w:shd w:val="clear" w:color="auto" w:fill="FFFFFF"/>
              </w:rPr>
            </w:pPr>
            <w:r>
              <w:rPr>
                <w:rFonts w:hint="eastAsia" w:ascii="Times New Roman" w:hAnsi="Times New Roman" w:eastAsia="方正仿宋_GBK"/>
                <w:kern w:val="0"/>
                <w:sz w:val="21"/>
                <w:szCs w:val="21"/>
                <w:shd w:val="clear" w:color="auto" w:fill="FFFFFF"/>
              </w:rPr>
              <w:t>【法律】《中华人民共和国行政许可法》（中华人民共和国主席令第7号）</w:t>
            </w:r>
          </w:p>
          <w:p w14:paraId="7D3EEAB5">
            <w:pPr>
              <w:keepNext w:val="0"/>
              <w:keepLines w:val="0"/>
              <w:suppressLineNumbers w:val="0"/>
              <w:spacing w:before="0" w:beforeAutospacing="0" w:after="0" w:afterAutospacing="0"/>
              <w:ind w:left="0" w:right="0" w:firstLine="420" w:firstLineChars="200"/>
              <w:rPr>
                <w:rFonts w:hint="eastAsia" w:ascii="Times New Roman" w:hAnsi="Times New Roman" w:eastAsia="方正仿宋_GBK"/>
                <w:kern w:val="0"/>
                <w:sz w:val="21"/>
                <w:szCs w:val="21"/>
                <w:shd w:val="clear" w:color="auto" w:fill="FFFFFF"/>
              </w:rPr>
            </w:pPr>
            <w:r>
              <w:rPr>
                <w:rFonts w:hint="eastAsia" w:ascii="Times New Roman" w:hAnsi="Times New Roman" w:eastAsia="方正仿宋_GBK"/>
                <w:kern w:val="0"/>
                <w:sz w:val="21"/>
                <w:szCs w:val="21"/>
                <w:shd w:val="clear" w:color="auto" w:fill="FFFFFF"/>
              </w:rPr>
              <w:t>第六十一条 行政机关应当建立健全监督制度，通过核查反映被许可人从事行政许可事项活动情况的有关材料，履行监督责任。</w:t>
            </w:r>
          </w:p>
          <w:p w14:paraId="2071FC96">
            <w:pPr>
              <w:keepNext w:val="0"/>
              <w:keepLines w:val="0"/>
              <w:suppressLineNumbers w:val="0"/>
              <w:spacing w:before="0" w:beforeAutospacing="0" w:after="0" w:afterAutospacing="0"/>
              <w:ind w:left="0" w:right="0" w:firstLine="420" w:firstLineChars="200"/>
              <w:rPr>
                <w:rFonts w:hint="eastAsia" w:ascii="Times New Roman" w:hAnsi="Times New Roman" w:eastAsia="方正仿宋_GBK"/>
                <w:kern w:val="0"/>
                <w:sz w:val="21"/>
                <w:szCs w:val="21"/>
                <w:shd w:val="clear" w:color="auto" w:fill="FFFFFF"/>
              </w:rPr>
            </w:pPr>
            <w:r>
              <w:rPr>
                <w:rFonts w:hint="eastAsia" w:ascii="Times New Roman" w:hAnsi="Times New Roman" w:eastAsia="方正仿宋_GBK"/>
                <w:kern w:val="0"/>
                <w:sz w:val="21"/>
                <w:szCs w:val="21"/>
                <w:shd w:val="clear" w:color="auto" w:fill="FFFFFF"/>
              </w:rPr>
              <w:t>行政机关依法对被许可人从事行政许可事项的活动进行监督检查时，应当将监督检查的情况和处理结果予以记录，由监督检查人员签字后归档。公众有权查阅行政机关监督检查记录。</w:t>
            </w:r>
          </w:p>
          <w:p w14:paraId="1D674956">
            <w:pPr>
              <w:keepNext w:val="0"/>
              <w:keepLines w:val="0"/>
              <w:suppressLineNumbers w:val="0"/>
              <w:spacing w:before="0" w:beforeAutospacing="0" w:after="0" w:afterAutospacing="0"/>
              <w:ind w:left="0" w:right="0" w:firstLine="420" w:firstLineChars="200"/>
              <w:rPr>
                <w:rFonts w:hint="eastAsia" w:ascii="Times New Roman" w:hAnsi="Times New Roman" w:eastAsia="方正仿宋_GBK"/>
                <w:kern w:val="0"/>
                <w:sz w:val="21"/>
                <w:szCs w:val="21"/>
                <w:shd w:val="clear" w:color="auto" w:fill="FFFFFF"/>
              </w:rPr>
            </w:pPr>
            <w:r>
              <w:rPr>
                <w:rFonts w:hint="eastAsia" w:ascii="Times New Roman" w:hAnsi="Times New Roman" w:eastAsia="方正仿宋_GBK"/>
                <w:kern w:val="0"/>
                <w:sz w:val="21"/>
                <w:szCs w:val="21"/>
                <w:shd w:val="clear" w:color="auto" w:fill="FFFFFF"/>
              </w:rPr>
              <w:t>行政机关应当创造条件，实现与被许可人、其他有关行政机关的计算机档案系统互联，核查被许可人从事行政许可事项活动情况。</w:t>
            </w:r>
          </w:p>
          <w:p w14:paraId="2BE99F41">
            <w:pPr>
              <w:keepNext w:val="0"/>
              <w:keepLines w:val="0"/>
              <w:suppressLineNumbers w:val="0"/>
              <w:spacing w:before="0" w:beforeAutospacing="0" w:after="0" w:afterAutospacing="0"/>
              <w:ind w:left="0" w:right="0" w:firstLine="420" w:firstLineChars="200"/>
              <w:rPr>
                <w:rFonts w:hint="eastAsia" w:ascii="Times New Roman" w:hAnsi="Times New Roman" w:eastAsia="方正仿宋_GBK"/>
                <w:kern w:val="0"/>
                <w:sz w:val="21"/>
                <w:szCs w:val="21"/>
                <w:shd w:val="clear" w:color="auto" w:fill="FFFFFF"/>
              </w:rPr>
            </w:pPr>
            <w:r>
              <w:rPr>
                <w:rFonts w:hint="eastAsia" w:ascii="Times New Roman" w:hAnsi="Times New Roman" w:eastAsia="方正仿宋_GBK"/>
                <w:kern w:val="0"/>
                <w:sz w:val="21"/>
                <w:szCs w:val="21"/>
                <w:shd w:val="clear" w:color="auto" w:fill="FFFFFF"/>
              </w:rPr>
              <w:t>第六十二条 行政机关可以对被许可人生产经营的产品依法进行抽样检查、检验、检测，对其生产经营场所依法进行实地检查。检查时，行政机关可以依法查阅或者要求被许可人报送有关材料；被许可人应当如实提供有关情况和材料。</w:t>
            </w:r>
          </w:p>
          <w:p w14:paraId="44683477">
            <w:pPr>
              <w:keepNext w:val="0"/>
              <w:keepLines w:val="0"/>
              <w:suppressLineNumbers w:val="0"/>
              <w:spacing w:before="0" w:beforeAutospacing="0" w:after="0" w:afterAutospacing="0"/>
              <w:ind w:left="0" w:right="0" w:firstLine="420" w:firstLineChars="200"/>
              <w:rPr>
                <w:rFonts w:hint="eastAsia" w:ascii="Times New Roman" w:hAnsi="Times New Roman" w:eastAsia="方正仿宋_GBK"/>
                <w:kern w:val="0"/>
                <w:sz w:val="21"/>
                <w:szCs w:val="21"/>
                <w:shd w:val="clear" w:color="auto" w:fill="FFFFFF"/>
              </w:rPr>
            </w:pPr>
            <w:r>
              <w:rPr>
                <w:rFonts w:hint="eastAsia" w:ascii="Times New Roman" w:hAnsi="Times New Roman" w:eastAsia="方正仿宋_GBK"/>
                <w:kern w:val="0"/>
                <w:sz w:val="21"/>
                <w:szCs w:val="21"/>
                <w:shd w:val="clear" w:color="auto" w:fill="FFFFFF"/>
              </w:rPr>
              <w:t>行政机关根据法律、行政法规的规定，对直接关系公共安全、人身健康、生命财产安全的重要设备、设施进行定期检验。对检验合格的，行政机关应当发给相应的证明文件。</w:t>
            </w:r>
          </w:p>
          <w:p w14:paraId="073754E5">
            <w:pPr>
              <w:keepNext w:val="0"/>
              <w:keepLines w:val="0"/>
              <w:suppressLineNumbers w:val="0"/>
              <w:spacing w:before="0" w:beforeAutospacing="0" w:after="0" w:afterAutospacing="0"/>
              <w:ind w:left="0" w:right="0"/>
              <w:rPr>
                <w:rFonts w:hint="eastAsia" w:ascii="Times New Roman" w:hAnsi="Times New Roman" w:eastAsia="方正仿宋_GBK"/>
                <w:kern w:val="0"/>
                <w:sz w:val="21"/>
                <w:szCs w:val="21"/>
                <w:shd w:val="clear" w:color="auto" w:fill="FFFFFF"/>
              </w:rPr>
            </w:pPr>
            <w:r>
              <w:rPr>
                <w:rFonts w:hint="eastAsia" w:ascii="Times New Roman" w:hAnsi="Times New Roman" w:eastAsia="方正仿宋_GBK"/>
                <w:kern w:val="0"/>
                <w:sz w:val="21"/>
                <w:szCs w:val="21"/>
                <w:shd w:val="clear" w:color="auto" w:fill="FFFFFF"/>
              </w:rPr>
              <w:t>【部门规章】《建筑业企业资质管理规定》（住房和城乡建设部令第22号）</w:t>
            </w:r>
          </w:p>
          <w:p w14:paraId="602AEAAC">
            <w:pPr>
              <w:keepNext w:val="0"/>
              <w:keepLines w:val="0"/>
              <w:suppressLineNumbers w:val="0"/>
              <w:spacing w:before="0" w:beforeAutospacing="0" w:after="0" w:afterAutospacing="0"/>
              <w:ind w:left="0" w:right="0" w:firstLine="420" w:firstLineChars="200"/>
              <w:rPr>
                <w:rFonts w:hint="eastAsia" w:ascii="Times New Roman" w:hAnsi="Times New Roman" w:eastAsia="方正仿宋_GBK"/>
                <w:kern w:val="0"/>
                <w:sz w:val="21"/>
                <w:szCs w:val="21"/>
                <w:shd w:val="clear" w:color="auto" w:fill="FFFFFF"/>
              </w:rPr>
            </w:pPr>
            <w:r>
              <w:rPr>
                <w:rFonts w:hint="eastAsia" w:ascii="Times New Roman" w:hAnsi="Times New Roman" w:eastAsia="方正仿宋_GBK"/>
                <w:kern w:val="0"/>
                <w:sz w:val="21"/>
                <w:szCs w:val="21"/>
                <w:shd w:val="clear" w:color="auto" w:fill="FFFFFF"/>
              </w:rPr>
              <w:t>第二十四条 县级以上人民政府住房城乡建设主管部门和其他有关部门应当依照有关法律、法规和本规定，加强对企业取得建筑业企业资质后是否满足资质标准和市场行为的监督管理。</w:t>
            </w:r>
          </w:p>
          <w:p w14:paraId="7218FC2F">
            <w:pPr>
              <w:keepNext w:val="0"/>
              <w:keepLines w:val="0"/>
              <w:suppressLineNumbers w:val="0"/>
              <w:spacing w:before="0" w:beforeAutospacing="0" w:after="0" w:afterAutospacing="0"/>
              <w:ind w:left="0" w:right="0" w:firstLine="420" w:firstLineChars="200"/>
              <w:rPr>
                <w:rFonts w:hint="eastAsia" w:ascii="Times New Roman" w:hAnsi="Times New Roman" w:eastAsia="方正仿宋_GBK"/>
                <w:kern w:val="0"/>
                <w:sz w:val="21"/>
                <w:szCs w:val="21"/>
                <w:shd w:val="clear" w:color="auto" w:fill="FFFFFF"/>
              </w:rPr>
            </w:pPr>
            <w:r>
              <w:rPr>
                <w:rFonts w:hint="eastAsia" w:ascii="Times New Roman" w:hAnsi="Times New Roman" w:eastAsia="方正仿宋_GBK"/>
                <w:kern w:val="0"/>
                <w:sz w:val="21"/>
                <w:szCs w:val="21"/>
                <w:shd w:val="clear" w:color="auto" w:fill="FFFFFF"/>
              </w:rPr>
              <w:t>第二十五条 住房城乡建设主管部门、其他有关部门的监督检查人员履行监督检查职责时，有权采取下列措施：</w:t>
            </w:r>
          </w:p>
          <w:p w14:paraId="58F4C330">
            <w:pPr>
              <w:keepNext w:val="0"/>
              <w:keepLines w:val="0"/>
              <w:suppressLineNumbers w:val="0"/>
              <w:spacing w:before="0" w:beforeAutospacing="0" w:after="0" w:afterAutospacing="0"/>
              <w:ind w:left="0" w:right="0" w:firstLine="420" w:firstLineChars="200"/>
              <w:rPr>
                <w:rFonts w:hint="eastAsia" w:ascii="Times New Roman" w:hAnsi="Times New Roman" w:eastAsia="方正仿宋_GBK"/>
                <w:kern w:val="0"/>
                <w:sz w:val="21"/>
                <w:szCs w:val="21"/>
                <w:shd w:val="clear" w:color="auto" w:fill="FFFFFF"/>
              </w:rPr>
            </w:pPr>
            <w:r>
              <w:rPr>
                <w:rFonts w:hint="eastAsia" w:ascii="Times New Roman" w:hAnsi="Times New Roman" w:eastAsia="方正仿宋_GBK"/>
                <w:kern w:val="0"/>
                <w:sz w:val="21"/>
                <w:szCs w:val="21"/>
                <w:shd w:val="clear" w:color="auto" w:fill="FFFFFF"/>
              </w:rPr>
              <w:t>（一）要求被检查企业提供建筑业企业资质证书、企业有关人员的注册执业证书、职称证书、岗位证书和考核或者培训合格证书，有关施工业务的文档，有关质量管理、安全生产管理、合同管理、档案管理、财务管理等企业内部管理制度的文件；</w:t>
            </w:r>
          </w:p>
          <w:p w14:paraId="1B41B349">
            <w:pPr>
              <w:keepNext w:val="0"/>
              <w:keepLines w:val="0"/>
              <w:suppressLineNumbers w:val="0"/>
              <w:spacing w:before="0" w:beforeAutospacing="0" w:after="0" w:afterAutospacing="0"/>
              <w:ind w:left="0" w:right="0" w:firstLine="420" w:firstLineChars="200"/>
              <w:rPr>
                <w:rFonts w:hint="eastAsia" w:ascii="Times New Roman" w:hAnsi="Times New Roman" w:eastAsia="方正仿宋_GBK"/>
                <w:kern w:val="0"/>
                <w:sz w:val="21"/>
                <w:szCs w:val="21"/>
                <w:shd w:val="clear" w:color="auto" w:fill="FFFFFF"/>
              </w:rPr>
            </w:pPr>
            <w:r>
              <w:rPr>
                <w:rFonts w:hint="eastAsia" w:ascii="Times New Roman" w:hAnsi="Times New Roman" w:eastAsia="方正仿宋_GBK"/>
                <w:kern w:val="0"/>
                <w:sz w:val="21"/>
                <w:szCs w:val="21"/>
                <w:shd w:val="clear" w:color="auto" w:fill="FFFFFF"/>
              </w:rPr>
              <w:t>（二）进入被检查企业进行检查，查阅相关资料；</w:t>
            </w:r>
          </w:p>
          <w:p w14:paraId="267DF34B">
            <w:pPr>
              <w:keepNext w:val="0"/>
              <w:keepLines w:val="0"/>
              <w:suppressLineNumbers w:val="0"/>
              <w:spacing w:before="0" w:beforeAutospacing="0" w:after="0" w:afterAutospacing="0"/>
              <w:ind w:left="0" w:right="0" w:firstLine="420" w:firstLineChars="200"/>
              <w:rPr>
                <w:rFonts w:hint="eastAsia" w:ascii="Times New Roman" w:hAnsi="Times New Roman" w:eastAsia="方正仿宋_GBK"/>
                <w:kern w:val="0"/>
                <w:sz w:val="21"/>
                <w:szCs w:val="21"/>
                <w:shd w:val="clear" w:color="auto" w:fill="FFFFFF"/>
              </w:rPr>
            </w:pPr>
            <w:r>
              <w:rPr>
                <w:rFonts w:hint="eastAsia" w:ascii="Times New Roman" w:hAnsi="Times New Roman" w:eastAsia="方正仿宋_GBK"/>
                <w:kern w:val="0"/>
                <w:sz w:val="21"/>
                <w:szCs w:val="21"/>
                <w:shd w:val="clear" w:color="auto" w:fill="FFFFFF"/>
              </w:rPr>
              <w:t>（三）纠正违反有关法律、法规和本规定及有关规范和标准的行为。</w:t>
            </w:r>
          </w:p>
          <w:p w14:paraId="31FF049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r>
              <w:rPr>
                <w:rFonts w:hint="eastAsia" w:ascii="Times New Roman" w:hAnsi="Times New Roman" w:eastAsia="方正仿宋_GBK"/>
                <w:kern w:val="0"/>
                <w:sz w:val="21"/>
                <w:szCs w:val="21"/>
                <w:shd w:val="clear" w:color="auto" w:fill="FFFFFF"/>
              </w:rPr>
              <w:t>监督检查人员应当将监督检查情况和处理结果予以记录，由监督检查人员和被检查企业的有关人员签字确认后归档。</w:t>
            </w:r>
          </w:p>
        </w:tc>
        <w:tc>
          <w:tcPr>
            <w:tcW w:w="926" w:type="dxa"/>
            <w:vMerge w:val="restart"/>
            <w:tcBorders>
              <w:tl2br w:val="nil"/>
              <w:tr2bl w:val="nil"/>
            </w:tcBorders>
            <w:vAlign w:val="center"/>
          </w:tcPr>
          <w:p w14:paraId="56CDB47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现场检查、书面检查</w:t>
            </w:r>
          </w:p>
        </w:tc>
        <w:tc>
          <w:tcPr>
            <w:tcW w:w="1104" w:type="dxa"/>
            <w:vMerge w:val="restart"/>
            <w:tcBorders>
              <w:tl2br w:val="nil"/>
              <w:tr2bl w:val="nil"/>
            </w:tcBorders>
            <w:vAlign w:val="center"/>
          </w:tcPr>
          <w:p w14:paraId="7300B67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1-12月</w:t>
            </w:r>
          </w:p>
        </w:tc>
        <w:tc>
          <w:tcPr>
            <w:tcW w:w="1296" w:type="dxa"/>
            <w:vMerge w:val="restart"/>
            <w:tcBorders>
              <w:tl2br w:val="nil"/>
              <w:tr2bl w:val="nil"/>
            </w:tcBorders>
            <w:vAlign w:val="center"/>
          </w:tcPr>
          <w:p w14:paraId="370EA1B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pPr>
            <w:r>
              <w:rPr>
                <w:rFonts w:hint="eastAsia" w:ascii="Times New Roman" w:hAnsi="Times New Roman"/>
                <w:b w:val="0"/>
                <w:bCs/>
                <w:kern w:val="0"/>
                <w:sz w:val="21"/>
                <w:szCs w:val="21"/>
              </w:rPr>
              <w:t>320217266000</w:t>
            </w:r>
          </w:p>
        </w:tc>
        <w:tc>
          <w:tcPr>
            <w:tcW w:w="1282" w:type="dxa"/>
            <w:tcBorders>
              <w:tl2br w:val="nil"/>
              <w:tr2bl w:val="nil"/>
            </w:tcBorders>
            <w:shd w:val="clear" w:color="auto" w:fill="auto"/>
            <w:vAlign w:val="center"/>
          </w:tcPr>
          <w:p w14:paraId="682AE25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 w:val="21"/>
                <w:szCs w:val="21"/>
              </w:rPr>
              <w:t>对建筑施工企业伪造、变造、倒卖、出租、出借或者以其他形式非法转让建筑业企业资质证书的处罚</w:t>
            </w:r>
          </w:p>
        </w:tc>
        <w:tc>
          <w:tcPr>
            <w:tcW w:w="1016" w:type="dxa"/>
            <w:vMerge w:val="restart"/>
            <w:tcBorders>
              <w:tl2br w:val="nil"/>
              <w:tr2bl w:val="nil"/>
            </w:tcBorders>
            <w:vAlign w:val="center"/>
          </w:tcPr>
          <w:p w14:paraId="63A49FB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5DDD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2" w:hRule="atLeast"/>
        </w:trPr>
        <w:tc>
          <w:tcPr>
            <w:tcW w:w="536" w:type="dxa"/>
            <w:vMerge w:val="continue"/>
            <w:tcBorders>
              <w:tl2br w:val="nil"/>
              <w:tr2bl w:val="nil"/>
            </w:tcBorders>
            <w:vAlign w:val="center"/>
          </w:tcPr>
          <w:p w14:paraId="048260C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773DC7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C876C1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F1341B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BEFAD4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6724BE7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926" w:type="dxa"/>
            <w:vMerge w:val="continue"/>
            <w:tcBorders>
              <w:tl2br w:val="nil"/>
              <w:tr2bl w:val="nil"/>
            </w:tcBorders>
            <w:vAlign w:val="center"/>
          </w:tcPr>
          <w:p w14:paraId="2F5B86E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7F3A961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vMerge w:val="restart"/>
            <w:tcBorders>
              <w:tl2br w:val="nil"/>
              <w:tr2bl w:val="nil"/>
            </w:tcBorders>
            <w:vAlign w:val="center"/>
          </w:tcPr>
          <w:p w14:paraId="252ECD3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Times New Roman"/>
                <w:b w:val="0"/>
                <w:bCs/>
                <w:kern w:val="0"/>
                <w:sz w:val="21"/>
                <w:szCs w:val="21"/>
              </w:rPr>
              <w:t>320217246000</w:t>
            </w:r>
          </w:p>
        </w:tc>
        <w:tc>
          <w:tcPr>
            <w:tcW w:w="1282" w:type="dxa"/>
            <w:tcBorders>
              <w:tl2br w:val="nil"/>
              <w:tr2bl w:val="nil"/>
            </w:tcBorders>
            <w:shd w:val="clear" w:color="auto" w:fill="auto"/>
            <w:vAlign w:val="center"/>
          </w:tcPr>
          <w:p w14:paraId="59BF34B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 w:val="21"/>
                <w:szCs w:val="21"/>
              </w:rPr>
              <w:t>对建筑业企业在接受监督检查时，不如实提供有关材料，或者拒绝、阻碍监督检查的处罚</w:t>
            </w:r>
          </w:p>
        </w:tc>
        <w:tc>
          <w:tcPr>
            <w:tcW w:w="1016" w:type="dxa"/>
            <w:vMerge w:val="continue"/>
            <w:tcBorders>
              <w:tl2br w:val="nil"/>
              <w:tr2bl w:val="nil"/>
            </w:tcBorders>
            <w:vAlign w:val="center"/>
          </w:tcPr>
          <w:p w14:paraId="6B0E521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1DAD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trPr>
        <w:tc>
          <w:tcPr>
            <w:tcW w:w="536" w:type="dxa"/>
            <w:vMerge w:val="continue"/>
            <w:tcBorders>
              <w:tl2br w:val="nil"/>
              <w:tr2bl w:val="nil"/>
            </w:tcBorders>
            <w:vAlign w:val="center"/>
          </w:tcPr>
          <w:p w14:paraId="01F3FBF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7D2F25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CA9574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C218FD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4C1C93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4F90B00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926" w:type="dxa"/>
            <w:vMerge w:val="continue"/>
            <w:tcBorders>
              <w:tl2br w:val="nil"/>
              <w:tr2bl w:val="nil"/>
            </w:tcBorders>
            <w:vAlign w:val="center"/>
          </w:tcPr>
          <w:p w14:paraId="440CB85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2366D7E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vMerge w:val="restart"/>
            <w:tcBorders>
              <w:tl2br w:val="nil"/>
              <w:tr2bl w:val="nil"/>
            </w:tcBorders>
            <w:vAlign w:val="center"/>
          </w:tcPr>
          <w:p w14:paraId="4CE1E4B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b w:val="0"/>
                <w:bCs w:val="0"/>
                <w:sz w:val="21"/>
                <w:szCs w:val="21"/>
              </w:rPr>
              <w:t>320217199000</w:t>
            </w:r>
          </w:p>
        </w:tc>
        <w:tc>
          <w:tcPr>
            <w:tcW w:w="1282" w:type="dxa"/>
            <w:tcBorders>
              <w:tl2br w:val="nil"/>
              <w:tr2bl w:val="nil"/>
            </w:tcBorders>
            <w:shd w:val="clear" w:color="auto" w:fill="auto"/>
            <w:vAlign w:val="center"/>
          </w:tcPr>
          <w:p w14:paraId="4F98DD5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 w:val="21"/>
                <w:szCs w:val="21"/>
              </w:rPr>
              <w:t>对建筑业企业以其他企业的名义承揽工程的处罚</w:t>
            </w:r>
          </w:p>
        </w:tc>
        <w:tc>
          <w:tcPr>
            <w:tcW w:w="1016" w:type="dxa"/>
            <w:vMerge w:val="continue"/>
            <w:tcBorders>
              <w:tl2br w:val="nil"/>
              <w:tr2bl w:val="nil"/>
            </w:tcBorders>
            <w:vAlign w:val="center"/>
          </w:tcPr>
          <w:p w14:paraId="7A531CA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0BF06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trPr>
        <w:tc>
          <w:tcPr>
            <w:tcW w:w="536" w:type="dxa"/>
            <w:vMerge w:val="continue"/>
            <w:tcBorders>
              <w:tl2br w:val="nil"/>
              <w:tr2bl w:val="nil"/>
            </w:tcBorders>
            <w:vAlign w:val="center"/>
          </w:tcPr>
          <w:p w14:paraId="6A5DFDC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D7427D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977026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63BC8F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939F9C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6C39292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926" w:type="dxa"/>
            <w:vMerge w:val="continue"/>
            <w:tcBorders>
              <w:tl2br w:val="nil"/>
              <w:tr2bl w:val="nil"/>
            </w:tcBorders>
            <w:vAlign w:val="center"/>
          </w:tcPr>
          <w:p w14:paraId="04FE6B1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8A98C7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426F85A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 w:val="21"/>
                <w:szCs w:val="21"/>
              </w:rPr>
              <w:t>320217064000</w:t>
            </w:r>
          </w:p>
        </w:tc>
        <w:tc>
          <w:tcPr>
            <w:tcW w:w="1282" w:type="dxa"/>
            <w:tcBorders>
              <w:tl2br w:val="nil"/>
              <w:tr2bl w:val="nil"/>
            </w:tcBorders>
            <w:shd w:val="clear" w:color="auto" w:fill="auto"/>
            <w:vAlign w:val="center"/>
          </w:tcPr>
          <w:p w14:paraId="176470A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 w:val="21"/>
                <w:szCs w:val="21"/>
              </w:rPr>
              <w:t>对勘察、设计、施工单位将所承包的工程转包或者违法分包，工程监理单位转让工程监理业务的处罚</w:t>
            </w:r>
          </w:p>
        </w:tc>
        <w:tc>
          <w:tcPr>
            <w:tcW w:w="1016" w:type="dxa"/>
            <w:vMerge w:val="continue"/>
            <w:tcBorders>
              <w:tl2br w:val="nil"/>
              <w:tr2bl w:val="nil"/>
            </w:tcBorders>
            <w:vAlign w:val="center"/>
          </w:tcPr>
          <w:p w14:paraId="7DFF63E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7645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536" w:type="dxa"/>
            <w:vMerge w:val="restart"/>
            <w:tcBorders>
              <w:tl2br w:val="nil"/>
              <w:tr2bl w:val="nil"/>
            </w:tcBorders>
            <w:vAlign w:val="center"/>
          </w:tcPr>
          <w:p w14:paraId="06DBAB3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4</w:t>
            </w:r>
          </w:p>
        </w:tc>
        <w:tc>
          <w:tcPr>
            <w:tcW w:w="1324" w:type="dxa"/>
            <w:vMerge w:val="restart"/>
            <w:tcBorders>
              <w:tl2br w:val="nil"/>
              <w:tr2bl w:val="nil"/>
            </w:tcBorders>
            <w:vAlign w:val="center"/>
          </w:tcPr>
          <w:p w14:paraId="0DEDA698">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在建项目保障农民工工资支付情况检查</w:t>
            </w:r>
          </w:p>
        </w:tc>
        <w:tc>
          <w:tcPr>
            <w:tcW w:w="794" w:type="dxa"/>
            <w:vMerge w:val="restart"/>
            <w:tcBorders>
              <w:tl2br w:val="nil"/>
              <w:tr2bl w:val="nil"/>
            </w:tcBorders>
            <w:vAlign w:val="center"/>
          </w:tcPr>
          <w:p w14:paraId="2E709387">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苏州市吴中区住建局</w:t>
            </w:r>
          </w:p>
        </w:tc>
        <w:tc>
          <w:tcPr>
            <w:tcW w:w="872" w:type="dxa"/>
            <w:vMerge w:val="restart"/>
            <w:tcBorders>
              <w:tl2br w:val="nil"/>
              <w:tr2bl w:val="nil"/>
            </w:tcBorders>
            <w:vAlign w:val="center"/>
          </w:tcPr>
          <w:p w14:paraId="11CD6B88">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建管处</w:t>
            </w:r>
          </w:p>
        </w:tc>
        <w:tc>
          <w:tcPr>
            <w:tcW w:w="1010" w:type="dxa"/>
            <w:vMerge w:val="restart"/>
            <w:tcBorders>
              <w:tl2br w:val="nil"/>
              <w:tr2bl w:val="nil"/>
            </w:tcBorders>
            <w:vAlign w:val="center"/>
          </w:tcPr>
          <w:p w14:paraId="4E1E0B34">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方正仿宋_GB2312" w:hAnsi="方正仿宋_GB2312" w:eastAsia="方正仿宋_GB2312" w:cs="方正仿宋_GB2312"/>
                <w:b w:val="0"/>
                <w:bCs/>
                <w:kern w:val="0"/>
                <w:sz w:val="21"/>
                <w:szCs w:val="21"/>
                <w:lang w:val="en-US" w:eastAsia="zh-CN"/>
              </w:rPr>
              <w:t>区内建设工程项目</w:t>
            </w:r>
          </w:p>
        </w:tc>
        <w:tc>
          <w:tcPr>
            <w:tcW w:w="4922" w:type="dxa"/>
            <w:vMerge w:val="restart"/>
            <w:tcBorders>
              <w:tl2br w:val="nil"/>
              <w:tr2bl w:val="nil"/>
            </w:tcBorders>
            <w:shd w:val="clear" w:color="auto" w:fill="auto"/>
            <w:vAlign w:val="center"/>
          </w:tcPr>
          <w:p w14:paraId="4287BE4D">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【行政法规】《保障农民工工资支付条例》（国务院令第724号）</w:t>
            </w:r>
          </w:p>
          <w:p w14:paraId="2BFC0086">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第六条　用人单位实行农民工劳动用工实名制管理，与招用的农民工书面约定或者通过依法制定的规章制度规定工资支付标准、支付时间、支付方式等内容。</w:t>
            </w:r>
          </w:p>
          <w:p w14:paraId="280DE168">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第七条第二款  住房城乡建设、交通运输、水利等相关行业工程建设主管部门按照职责履行行业监管责任，督办因违法发包、转包、违法分包、挂靠、拖欠工程款等导致的拖欠农民工工资案件。</w:t>
            </w:r>
          </w:p>
          <w:p w14:paraId="3C46479E">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第二十四条第一款　建设单位应当向施工单位提供工程款支付担保。</w:t>
            </w:r>
          </w:p>
          <w:p w14:paraId="48384F87">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第二款　建设单位与施工总承包单位依法订立书面工程施工合同，应当约定工程款计量周期、工程款进度结算办法以及人工费用拨付周期，并按照保障农民工工资按时足额支付的要求约定人工费用。人工费用拨付周期不得超过1个月。</w:t>
            </w:r>
          </w:p>
          <w:p w14:paraId="728CCE1C">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第三款 建设单位与施工总承包单位应当将工程施工合同保存备查。</w:t>
            </w:r>
          </w:p>
          <w:p w14:paraId="064D4FB2">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第二十六条　施工总承包单位应当按照有关规定开设农民工工资专用账户，专项用于支付该工程建设项目农民工工资。</w:t>
            </w:r>
          </w:p>
          <w:p w14:paraId="58EFC1AC">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开设、使用农民工工资专用账户有关资料应当由施工总承包单位妥善保存备查。</w:t>
            </w:r>
          </w:p>
          <w:p w14:paraId="7C6D2B85">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第二十八条第二款 施工总承包单位应当在工程项目部配备劳资专管员，对分包单位劳动用工实施监督管理，掌握施工现场用工、考勤、工资支付等情况，审核分包单位编制的农民工工资支付表，分包单位应当予以配合。</w:t>
            </w:r>
          </w:p>
          <w:p w14:paraId="66159014">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第二十九条第一款　建设单位应当按照合同约定及时拨付工程款，并将人工费用及时足额拨付至农民工工资专用账户，加强对施工总承包单位按时足额支付农民工工资的监督。</w:t>
            </w:r>
          </w:p>
          <w:p w14:paraId="2EDC4349">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第三十条　分包单位对所招用农民工的实名制管理和工资支付负直接责任。</w:t>
            </w:r>
          </w:p>
          <w:p w14:paraId="3982A968">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施工总承包单位对分包单位劳动用工和工资发放等情况进行监督。</w:t>
            </w:r>
          </w:p>
          <w:p w14:paraId="4D0D8D19">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分包单位拖欠农民工工资的，由施工总承包单位先行清偿，再依法进行追偿。</w:t>
            </w:r>
          </w:p>
          <w:p w14:paraId="5A0CD58A">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工程建设项目转包，拖欠农民工工资的，由施工总承包单位先行清偿，再依法进行追偿。</w:t>
            </w:r>
          </w:p>
          <w:p w14:paraId="56D9642A">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第三十一条第二款  分包单位应当按月考核农民工工作量并编制工资支付表，经农民工本人签字确认后，与当月工程进度等情况一并交施工总承包单位。</w:t>
            </w:r>
          </w:p>
          <w:p w14:paraId="54949884">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第三十四条　施工总承包单位应当在施工现场醒目位置设立维权信息告示牌，明示下列事项：</w:t>
            </w:r>
          </w:p>
          <w:p w14:paraId="2827C78A">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（一）建设单位、施工总承包单位及所在项目部、分包单位、相关行业工程建设主管部门、劳资专管员等基本信息；</w:t>
            </w:r>
          </w:p>
          <w:p w14:paraId="1E623D2B">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（二）当地最低工资标准、工资支付日期等基本信息；</w:t>
            </w:r>
          </w:p>
          <w:p w14:paraId="5F8F792C">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（三）相关行业工程建设主管部门和劳动保障监察投诉举报电话、劳动争议调解仲裁申请渠道、法律援助申请渠道、公共法律服务热线等信息。</w:t>
            </w:r>
          </w:p>
          <w:p w14:paraId="35466873">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第四十三条　相关行业工程建设主管部门应当依法规范本领域建设市场秩序，对违法发包、转包、违法分包、挂靠等行为进行查处，并对导致拖欠农民工工资的违法行为及时予以制止、纠正。</w:t>
            </w:r>
          </w:p>
          <w:p w14:paraId="275F0BBF">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第五十五条　有下列情形之一的，由人力资源社会保障行政部门、相关行业工程建设主管部门按照职责责令限期改正；逾期不改正的，责令项目停工，并处5万元以上10万元以下的罚款；情节严重的，给予施工单位限制承接新工程、降低资质等级、吊销资质证书等处罚：</w:t>
            </w:r>
          </w:p>
          <w:p w14:paraId="1B179C79">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（一）施工总承包单位未按规定开设或者使用农民工工资专用账户；</w:t>
            </w:r>
          </w:p>
          <w:p w14:paraId="5BCD0623">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（三）施工总承包单位、分包单位未实行劳动用工实名制管理。</w:t>
            </w:r>
          </w:p>
          <w:p w14:paraId="0DB8BD26">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第五十六条　有下列情形之一的，由人力资源社会保障行政部门、相关行业工程建设主管部门按照职责责令限期改正；逾期不改正的，处5万元以上10万元以下的罚款：</w:t>
            </w:r>
          </w:p>
          <w:p w14:paraId="4EDA90ED">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（一）分包单位未按月考核农民工工作量、编制工资支付表并经农民工本人签字确认；</w:t>
            </w:r>
          </w:p>
          <w:p w14:paraId="2DBC47C5">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（二）分包单位未配合施工总承包单位对其劳动用工进行监督管理；</w:t>
            </w:r>
          </w:p>
          <w:p w14:paraId="78175D63">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（三）施工总承包单位未实行施工现场维权信息公示制度。</w:t>
            </w:r>
          </w:p>
          <w:p w14:paraId="7E326D37">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第五十七条　有下列情形之一的，由人力资源社会保障行政部门、相关行业工程建设主管部门按照职责责令限期改正；逾期不改正的，责令项目停工，并处5万元以上10万元以下的罚款：</w:t>
            </w:r>
          </w:p>
          <w:p w14:paraId="516150E5">
            <w:pPr>
              <w:keepNext w:val="0"/>
              <w:keepLines w:val="0"/>
              <w:widowControl/>
              <w:numPr>
                <w:ilvl w:val="0"/>
                <w:numId w:val="0"/>
              </w:numPr>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lang w:eastAsia="zh-CN"/>
              </w:rPr>
              <w:t>（</w:t>
            </w:r>
            <w:r>
              <w:rPr>
                <w:rFonts w:hint="eastAsia" w:ascii="Times New Roman" w:hAnsi="方正仿宋_GBK" w:eastAsia="方正仿宋_GBK"/>
                <w:szCs w:val="21"/>
                <w:lang w:val="en-US" w:eastAsia="zh-CN"/>
              </w:rPr>
              <w:t>一</w:t>
            </w:r>
            <w:r>
              <w:rPr>
                <w:rFonts w:hint="eastAsia" w:ascii="Times New Roman" w:hAnsi="方正仿宋_GBK" w:eastAsia="方正仿宋_GBK"/>
                <w:szCs w:val="21"/>
                <w:lang w:eastAsia="zh-CN"/>
              </w:rPr>
              <w:t>）</w:t>
            </w:r>
            <w:r>
              <w:rPr>
                <w:rFonts w:hint="eastAsia" w:ascii="Times New Roman" w:hAnsi="方正仿宋_GBK" w:eastAsia="方正仿宋_GBK"/>
                <w:szCs w:val="21"/>
              </w:rPr>
              <w:t>建设单位未依法提供工程款支付担保</w:t>
            </w:r>
          </w:p>
          <w:p w14:paraId="2919B1AE">
            <w:pPr>
              <w:keepNext w:val="0"/>
              <w:keepLines w:val="0"/>
              <w:widowControl/>
              <w:numPr>
                <w:ilvl w:val="0"/>
                <w:numId w:val="0"/>
              </w:numPr>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rPr>
            </w:pPr>
            <w:r>
              <w:rPr>
                <w:rFonts w:hint="eastAsia" w:ascii="Times New Roman" w:hAnsi="方正仿宋_GBK" w:eastAsia="方正仿宋_GBK"/>
                <w:szCs w:val="21"/>
              </w:rPr>
              <w:t>（二）建设单位未按约定及时足额向农民工工资专用账户拨付工程款中的人工费用；</w:t>
            </w:r>
          </w:p>
          <w:p w14:paraId="31AB9E7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Cs w:val="21"/>
              </w:rPr>
              <w:t>（三）建设单位或者施工总承包单位拒不提供或者无法提供工程施工合同、农民工工资专用账户有关资料。</w:t>
            </w:r>
          </w:p>
        </w:tc>
        <w:tc>
          <w:tcPr>
            <w:tcW w:w="926" w:type="dxa"/>
            <w:vMerge w:val="restart"/>
            <w:tcBorders>
              <w:tl2br w:val="nil"/>
              <w:tr2bl w:val="nil"/>
            </w:tcBorders>
            <w:vAlign w:val="center"/>
          </w:tcPr>
          <w:p w14:paraId="7202BA2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现场检查、书面检查</w:t>
            </w:r>
          </w:p>
        </w:tc>
        <w:tc>
          <w:tcPr>
            <w:tcW w:w="1104" w:type="dxa"/>
            <w:vMerge w:val="restart"/>
            <w:tcBorders>
              <w:tl2br w:val="nil"/>
              <w:tr2bl w:val="nil"/>
            </w:tcBorders>
            <w:vAlign w:val="center"/>
          </w:tcPr>
          <w:p w14:paraId="5181510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1-12月</w:t>
            </w:r>
          </w:p>
        </w:tc>
        <w:tc>
          <w:tcPr>
            <w:tcW w:w="1296" w:type="dxa"/>
            <w:tcBorders>
              <w:tl2br w:val="nil"/>
              <w:tr2bl w:val="nil"/>
            </w:tcBorders>
            <w:vAlign w:val="center"/>
          </w:tcPr>
          <w:p w14:paraId="6656BFC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pPr>
            <w:r>
              <w:rPr>
                <w:rFonts w:hint="eastAsia" w:ascii="Times New Roman" w:hAnsi="方正仿宋_GBK" w:eastAsia="方正仿宋_GBK"/>
                <w:szCs w:val="21"/>
              </w:rPr>
              <w:t>320217891000</w:t>
            </w:r>
          </w:p>
        </w:tc>
        <w:tc>
          <w:tcPr>
            <w:tcW w:w="1282" w:type="dxa"/>
            <w:tcBorders>
              <w:tl2br w:val="nil"/>
              <w:tr2bl w:val="nil"/>
            </w:tcBorders>
            <w:shd w:val="clear" w:color="auto" w:fill="auto"/>
            <w:vAlign w:val="center"/>
          </w:tcPr>
          <w:p w14:paraId="5EBA238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pPr>
            <w:r>
              <w:rPr>
                <w:rFonts w:hint="eastAsia" w:ascii="Times New Roman" w:hAnsi="方正仿宋_GBK" w:eastAsia="方正仿宋_GBK"/>
                <w:szCs w:val="21"/>
              </w:rPr>
              <w:t>对施工总承包单位未按规定开设或者使用农民工工资专用账户的处罚</w:t>
            </w:r>
          </w:p>
        </w:tc>
        <w:tc>
          <w:tcPr>
            <w:tcW w:w="1016" w:type="dxa"/>
            <w:vMerge w:val="restart"/>
            <w:tcBorders>
              <w:tl2br w:val="nil"/>
              <w:tr2bl w:val="nil"/>
            </w:tcBorders>
            <w:vAlign w:val="center"/>
          </w:tcPr>
          <w:p w14:paraId="1967ADF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5D647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536" w:type="dxa"/>
            <w:vMerge w:val="continue"/>
            <w:tcBorders>
              <w:tl2br w:val="nil"/>
              <w:tr2bl w:val="nil"/>
            </w:tcBorders>
            <w:vAlign w:val="center"/>
          </w:tcPr>
          <w:p w14:paraId="4E5393F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tc>
        <w:tc>
          <w:tcPr>
            <w:tcW w:w="1324" w:type="dxa"/>
            <w:vMerge w:val="continue"/>
            <w:tcBorders>
              <w:tl2br w:val="nil"/>
              <w:tr2bl w:val="nil"/>
            </w:tcBorders>
            <w:vAlign w:val="center"/>
          </w:tcPr>
          <w:p w14:paraId="09AFA18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tc>
        <w:tc>
          <w:tcPr>
            <w:tcW w:w="794" w:type="dxa"/>
            <w:vMerge w:val="continue"/>
            <w:tcBorders>
              <w:tl2br w:val="nil"/>
              <w:tr2bl w:val="nil"/>
            </w:tcBorders>
            <w:vAlign w:val="center"/>
          </w:tcPr>
          <w:p w14:paraId="66F5045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tc>
        <w:tc>
          <w:tcPr>
            <w:tcW w:w="872" w:type="dxa"/>
            <w:vMerge w:val="continue"/>
            <w:tcBorders>
              <w:tl2br w:val="nil"/>
              <w:tr2bl w:val="nil"/>
            </w:tcBorders>
            <w:vAlign w:val="center"/>
          </w:tcPr>
          <w:p w14:paraId="6F36601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tc>
        <w:tc>
          <w:tcPr>
            <w:tcW w:w="1010" w:type="dxa"/>
            <w:vMerge w:val="continue"/>
            <w:tcBorders>
              <w:tl2br w:val="nil"/>
              <w:tr2bl w:val="nil"/>
            </w:tcBorders>
            <w:vAlign w:val="center"/>
          </w:tcPr>
          <w:p w14:paraId="05D0E01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3DF1AEC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926" w:type="dxa"/>
            <w:vMerge w:val="continue"/>
            <w:tcBorders>
              <w:tl2br w:val="nil"/>
              <w:tr2bl w:val="nil"/>
            </w:tcBorders>
            <w:vAlign w:val="center"/>
          </w:tcPr>
          <w:p w14:paraId="7750FD6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5F5387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0683AA0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Cs w:val="21"/>
              </w:rPr>
              <w:t>320217890000</w:t>
            </w:r>
          </w:p>
        </w:tc>
        <w:tc>
          <w:tcPr>
            <w:tcW w:w="1282" w:type="dxa"/>
            <w:tcBorders>
              <w:tl2br w:val="nil"/>
              <w:tr2bl w:val="nil"/>
            </w:tcBorders>
            <w:shd w:val="clear" w:color="auto" w:fill="auto"/>
            <w:vAlign w:val="center"/>
          </w:tcPr>
          <w:p w14:paraId="71B8AE5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Cs w:val="21"/>
              </w:rPr>
              <w:t>对施工总承包单位、分包单位未实行劳动用工实名制管理的处罚</w:t>
            </w:r>
          </w:p>
        </w:tc>
        <w:tc>
          <w:tcPr>
            <w:tcW w:w="1016" w:type="dxa"/>
            <w:vMerge w:val="continue"/>
            <w:tcBorders>
              <w:tl2br w:val="nil"/>
              <w:tr2bl w:val="nil"/>
            </w:tcBorders>
            <w:vAlign w:val="center"/>
          </w:tcPr>
          <w:p w14:paraId="6CA5B27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4A69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536" w:type="dxa"/>
            <w:vMerge w:val="continue"/>
            <w:tcBorders>
              <w:tl2br w:val="nil"/>
              <w:tr2bl w:val="nil"/>
            </w:tcBorders>
            <w:vAlign w:val="center"/>
          </w:tcPr>
          <w:p w14:paraId="18446979">
            <w:pPr>
              <w:keepNext w:val="0"/>
              <w:keepLines w:val="0"/>
              <w:suppressLineNumbers w:val="0"/>
              <w:spacing w:before="0" w:beforeAutospacing="0" w:after="0" w:afterAutospacing="0"/>
              <w:ind w:left="0" w:right="0"/>
              <w:jc w:val="left"/>
              <w:rPr>
                <w:rFonts w:hint="default"/>
              </w:rPr>
            </w:pPr>
          </w:p>
        </w:tc>
        <w:tc>
          <w:tcPr>
            <w:tcW w:w="1324" w:type="dxa"/>
            <w:vMerge w:val="continue"/>
            <w:tcBorders>
              <w:tl2br w:val="nil"/>
              <w:tr2bl w:val="nil"/>
            </w:tcBorders>
            <w:vAlign w:val="center"/>
          </w:tcPr>
          <w:p w14:paraId="420812E2">
            <w:pPr>
              <w:keepNext w:val="0"/>
              <w:keepLines w:val="0"/>
              <w:suppressLineNumbers w:val="0"/>
              <w:spacing w:before="0" w:beforeAutospacing="0" w:after="0" w:afterAutospacing="0"/>
              <w:ind w:left="0" w:right="0"/>
              <w:jc w:val="left"/>
              <w:rPr>
                <w:rFonts w:hint="default"/>
              </w:rPr>
            </w:pPr>
          </w:p>
        </w:tc>
        <w:tc>
          <w:tcPr>
            <w:tcW w:w="794" w:type="dxa"/>
            <w:vMerge w:val="continue"/>
            <w:tcBorders>
              <w:tl2br w:val="nil"/>
              <w:tr2bl w:val="nil"/>
            </w:tcBorders>
            <w:vAlign w:val="center"/>
          </w:tcPr>
          <w:p w14:paraId="38061F4D">
            <w:pPr>
              <w:keepNext w:val="0"/>
              <w:keepLines w:val="0"/>
              <w:suppressLineNumbers w:val="0"/>
              <w:spacing w:before="0" w:beforeAutospacing="0" w:after="0" w:afterAutospacing="0"/>
              <w:ind w:left="0" w:right="0"/>
              <w:jc w:val="left"/>
              <w:rPr>
                <w:rFonts w:hint="default"/>
              </w:rPr>
            </w:pPr>
          </w:p>
        </w:tc>
        <w:tc>
          <w:tcPr>
            <w:tcW w:w="872" w:type="dxa"/>
            <w:vMerge w:val="continue"/>
            <w:tcBorders>
              <w:tl2br w:val="nil"/>
              <w:tr2bl w:val="nil"/>
            </w:tcBorders>
            <w:vAlign w:val="center"/>
          </w:tcPr>
          <w:p w14:paraId="5F232130">
            <w:pPr>
              <w:keepNext w:val="0"/>
              <w:keepLines w:val="0"/>
              <w:suppressLineNumbers w:val="0"/>
              <w:spacing w:before="0" w:beforeAutospacing="0" w:after="0" w:afterAutospacing="0"/>
              <w:ind w:left="0" w:right="0"/>
              <w:jc w:val="left"/>
              <w:rPr>
                <w:rFonts w:hint="default"/>
              </w:rPr>
            </w:pPr>
          </w:p>
        </w:tc>
        <w:tc>
          <w:tcPr>
            <w:tcW w:w="1010" w:type="dxa"/>
            <w:vMerge w:val="continue"/>
            <w:tcBorders>
              <w:tl2br w:val="nil"/>
              <w:tr2bl w:val="nil"/>
            </w:tcBorders>
            <w:vAlign w:val="center"/>
          </w:tcPr>
          <w:p w14:paraId="71B2C591">
            <w:pPr>
              <w:keepNext w:val="0"/>
              <w:keepLines w:val="0"/>
              <w:suppressLineNumbers w:val="0"/>
              <w:spacing w:before="0" w:beforeAutospacing="0" w:after="0" w:afterAutospacing="0"/>
              <w:ind w:left="0" w:right="0"/>
              <w:jc w:val="left"/>
              <w:rPr>
                <w:rFonts w:hint="default"/>
              </w:rPr>
            </w:pPr>
          </w:p>
        </w:tc>
        <w:tc>
          <w:tcPr>
            <w:tcW w:w="4922" w:type="dxa"/>
            <w:vMerge w:val="continue"/>
            <w:tcBorders>
              <w:tl2br w:val="nil"/>
              <w:tr2bl w:val="nil"/>
            </w:tcBorders>
            <w:shd w:val="clear" w:color="auto" w:fill="auto"/>
            <w:vAlign w:val="center"/>
          </w:tcPr>
          <w:p w14:paraId="50B57426">
            <w:pPr>
              <w:keepNext w:val="0"/>
              <w:keepLines w:val="0"/>
              <w:suppressLineNumbers w:val="0"/>
              <w:spacing w:before="0" w:beforeAutospacing="0" w:after="0" w:afterAutospacing="0"/>
              <w:ind w:left="0" w:right="0"/>
              <w:jc w:val="left"/>
              <w:rPr>
                <w:rFonts w:hint="default"/>
              </w:rPr>
            </w:pPr>
          </w:p>
        </w:tc>
        <w:tc>
          <w:tcPr>
            <w:tcW w:w="926" w:type="dxa"/>
            <w:vMerge w:val="continue"/>
            <w:tcBorders>
              <w:tl2br w:val="nil"/>
              <w:tr2bl w:val="nil"/>
            </w:tcBorders>
            <w:vAlign w:val="center"/>
          </w:tcPr>
          <w:p w14:paraId="3665779A">
            <w:pPr>
              <w:keepNext w:val="0"/>
              <w:keepLines w:val="0"/>
              <w:suppressLineNumbers w:val="0"/>
              <w:spacing w:before="0" w:beforeAutospacing="0" w:after="0" w:afterAutospacing="0"/>
              <w:ind w:left="0" w:right="0"/>
              <w:jc w:val="left"/>
              <w:rPr>
                <w:rFonts w:hint="default"/>
              </w:rPr>
            </w:pPr>
          </w:p>
        </w:tc>
        <w:tc>
          <w:tcPr>
            <w:tcW w:w="1104" w:type="dxa"/>
            <w:vMerge w:val="continue"/>
            <w:tcBorders>
              <w:tl2br w:val="nil"/>
              <w:tr2bl w:val="nil"/>
            </w:tcBorders>
            <w:vAlign w:val="center"/>
          </w:tcPr>
          <w:p w14:paraId="35DD48D1">
            <w:pPr>
              <w:keepNext w:val="0"/>
              <w:keepLines w:val="0"/>
              <w:suppressLineNumbers w:val="0"/>
              <w:spacing w:before="0" w:beforeAutospacing="0" w:after="0" w:afterAutospacing="0"/>
              <w:ind w:left="0" w:right="0"/>
              <w:jc w:val="left"/>
              <w:rPr>
                <w:rFonts w:hint="default"/>
              </w:rPr>
            </w:pPr>
          </w:p>
        </w:tc>
        <w:tc>
          <w:tcPr>
            <w:tcW w:w="1296" w:type="dxa"/>
            <w:tcBorders>
              <w:tl2br w:val="nil"/>
              <w:tr2bl w:val="nil"/>
            </w:tcBorders>
            <w:vAlign w:val="center"/>
          </w:tcPr>
          <w:p w14:paraId="2D3D5D8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Cs w:val="21"/>
              </w:rPr>
              <w:t>320217889000</w:t>
            </w:r>
          </w:p>
        </w:tc>
        <w:tc>
          <w:tcPr>
            <w:tcW w:w="1282" w:type="dxa"/>
            <w:tcBorders>
              <w:tl2br w:val="nil"/>
              <w:tr2bl w:val="nil"/>
            </w:tcBorders>
            <w:shd w:val="clear" w:color="auto" w:fill="auto"/>
            <w:vAlign w:val="center"/>
          </w:tcPr>
          <w:p w14:paraId="6546BDE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Cs w:val="21"/>
              </w:rPr>
              <w:t>对分包单位未按月考核农民工工作量、编制工资支付表并经农民工本人签字确认的处罚</w:t>
            </w:r>
          </w:p>
        </w:tc>
        <w:tc>
          <w:tcPr>
            <w:tcW w:w="1016" w:type="dxa"/>
            <w:vMerge w:val="continue"/>
            <w:tcBorders>
              <w:tl2br w:val="nil"/>
              <w:tr2bl w:val="nil"/>
            </w:tcBorders>
            <w:vAlign w:val="center"/>
          </w:tcPr>
          <w:p w14:paraId="159577A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9F8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536" w:type="dxa"/>
            <w:vMerge w:val="continue"/>
            <w:tcBorders>
              <w:tl2br w:val="nil"/>
              <w:tr2bl w:val="nil"/>
            </w:tcBorders>
            <w:vAlign w:val="center"/>
          </w:tcPr>
          <w:p w14:paraId="2F8B56B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79C6CB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1E7457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0FCBA0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3B04F27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1E42F15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926" w:type="dxa"/>
            <w:vMerge w:val="continue"/>
            <w:tcBorders>
              <w:tl2br w:val="nil"/>
              <w:tr2bl w:val="nil"/>
            </w:tcBorders>
            <w:vAlign w:val="center"/>
          </w:tcPr>
          <w:p w14:paraId="3E4609F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5C01EA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33210A7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Cs w:val="21"/>
              </w:rPr>
              <w:t>320217888000</w:t>
            </w:r>
          </w:p>
        </w:tc>
        <w:tc>
          <w:tcPr>
            <w:tcW w:w="1282" w:type="dxa"/>
            <w:tcBorders>
              <w:tl2br w:val="nil"/>
              <w:tr2bl w:val="nil"/>
            </w:tcBorders>
            <w:shd w:val="clear" w:color="auto" w:fill="auto"/>
            <w:vAlign w:val="center"/>
          </w:tcPr>
          <w:p w14:paraId="691248A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Cs w:val="21"/>
              </w:rPr>
              <w:t>对分包单位未配合施工总承包单位对其劳动用工进行监督管理的处罚</w:t>
            </w:r>
          </w:p>
        </w:tc>
        <w:tc>
          <w:tcPr>
            <w:tcW w:w="1016" w:type="dxa"/>
            <w:vMerge w:val="continue"/>
            <w:tcBorders>
              <w:tl2br w:val="nil"/>
              <w:tr2bl w:val="nil"/>
            </w:tcBorders>
            <w:vAlign w:val="center"/>
          </w:tcPr>
          <w:p w14:paraId="7409D63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67873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536" w:type="dxa"/>
            <w:vMerge w:val="continue"/>
            <w:tcBorders>
              <w:tl2br w:val="nil"/>
              <w:tr2bl w:val="nil"/>
            </w:tcBorders>
            <w:vAlign w:val="center"/>
          </w:tcPr>
          <w:p w14:paraId="7A0E547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6ACD092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7DE175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665E48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3F9006C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29BBF47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926" w:type="dxa"/>
            <w:vMerge w:val="continue"/>
            <w:tcBorders>
              <w:tl2br w:val="nil"/>
              <w:tr2bl w:val="nil"/>
            </w:tcBorders>
            <w:vAlign w:val="center"/>
          </w:tcPr>
          <w:p w14:paraId="7F9A9B3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17A995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2475000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Cs w:val="21"/>
              </w:rPr>
              <w:t>320217887000</w:t>
            </w:r>
          </w:p>
        </w:tc>
        <w:tc>
          <w:tcPr>
            <w:tcW w:w="1282" w:type="dxa"/>
            <w:tcBorders>
              <w:tl2br w:val="nil"/>
              <w:tr2bl w:val="nil"/>
            </w:tcBorders>
            <w:shd w:val="clear" w:color="auto" w:fill="auto"/>
            <w:vAlign w:val="center"/>
          </w:tcPr>
          <w:p w14:paraId="44056DC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Cs w:val="21"/>
              </w:rPr>
              <w:t>对施工总承包单位未实行施工现场维权信息公示制度的处罚</w:t>
            </w:r>
          </w:p>
        </w:tc>
        <w:tc>
          <w:tcPr>
            <w:tcW w:w="1016" w:type="dxa"/>
            <w:vMerge w:val="continue"/>
            <w:tcBorders>
              <w:tl2br w:val="nil"/>
              <w:tr2bl w:val="nil"/>
            </w:tcBorders>
            <w:vAlign w:val="center"/>
          </w:tcPr>
          <w:p w14:paraId="0086343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BCE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536" w:type="dxa"/>
            <w:vMerge w:val="continue"/>
            <w:tcBorders>
              <w:tl2br w:val="nil"/>
              <w:tr2bl w:val="nil"/>
            </w:tcBorders>
            <w:vAlign w:val="center"/>
          </w:tcPr>
          <w:p w14:paraId="2379074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0951CC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4C57DB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6C72A8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50711DB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0F89877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926" w:type="dxa"/>
            <w:vMerge w:val="continue"/>
            <w:tcBorders>
              <w:tl2br w:val="nil"/>
              <w:tr2bl w:val="nil"/>
            </w:tcBorders>
            <w:vAlign w:val="center"/>
          </w:tcPr>
          <w:p w14:paraId="5F2103E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56CB027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45F0E4B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Cs w:val="21"/>
              </w:rPr>
              <w:t>320217886000</w:t>
            </w:r>
          </w:p>
        </w:tc>
        <w:tc>
          <w:tcPr>
            <w:tcW w:w="1282" w:type="dxa"/>
            <w:tcBorders>
              <w:tl2br w:val="nil"/>
              <w:tr2bl w:val="nil"/>
            </w:tcBorders>
            <w:shd w:val="clear" w:color="auto" w:fill="auto"/>
            <w:vAlign w:val="center"/>
          </w:tcPr>
          <w:p w14:paraId="7C75B5E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Cs w:val="21"/>
              </w:rPr>
              <w:t>对建设单位未依法提供工程款支付担保的处罚</w:t>
            </w:r>
          </w:p>
        </w:tc>
        <w:tc>
          <w:tcPr>
            <w:tcW w:w="1016" w:type="dxa"/>
            <w:vMerge w:val="continue"/>
            <w:tcBorders>
              <w:tl2br w:val="nil"/>
              <w:tr2bl w:val="nil"/>
            </w:tcBorders>
            <w:vAlign w:val="center"/>
          </w:tcPr>
          <w:p w14:paraId="1547D8F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14334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536" w:type="dxa"/>
            <w:vMerge w:val="continue"/>
            <w:tcBorders>
              <w:tl2br w:val="nil"/>
              <w:tr2bl w:val="nil"/>
            </w:tcBorders>
            <w:vAlign w:val="center"/>
          </w:tcPr>
          <w:p w14:paraId="7DDF377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2EAE0C3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D899DF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53E91AB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CBC89F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6EA6825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926" w:type="dxa"/>
            <w:vMerge w:val="continue"/>
            <w:tcBorders>
              <w:tl2br w:val="nil"/>
              <w:tr2bl w:val="nil"/>
            </w:tcBorders>
            <w:vAlign w:val="center"/>
          </w:tcPr>
          <w:p w14:paraId="0C19196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A97B01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5E52490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Cs w:val="21"/>
              </w:rPr>
              <w:t>320217885000</w:t>
            </w:r>
          </w:p>
        </w:tc>
        <w:tc>
          <w:tcPr>
            <w:tcW w:w="1282" w:type="dxa"/>
            <w:tcBorders>
              <w:tl2br w:val="nil"/>
              <w:tr2bl w:val="nil"/>
            </w:tcBorders>
            <w:shd w:val="clear" w:color="auto" w:fill="auto"/>
            <w:vAlign w:val="center"/>
          </w:tcPr>
          <w:p w14:paraId="34EE670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Cs w:val="21"/>
              </w:rPr>
              <w:t>对施工总承包单位未对分包单位劳动用工实施监督管理的处罚</w:t>
            </w:r>
          </w:p>
        </w:tc>
        <w:tc>
          <w:tcPr>
            <w:tcW w:w="1016" w:type="dxa"/>
            <w:vMerge w:val="continue"/>
            <w:tcBorders>
              <w:tl2br w:val="nil"/>
              <w:tr2bl w:val="nil"/>
            </w:tcBorders>
            <w:vAlign w:val="center"/>
          </w:tcPr>
          <w:p w14:paraId="36A6821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3985F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536" w:type="dxa"/>
            <w:vMerge w:val="continue"/>
            <w:tcBorders>
              <w:tl2br w:val="nil"/>
              <w:tr2bl w:val="nil"/>
            </w:tcBorders>
            <w:vAlign w:val="center"/>
          </w:tcPr>
          <w:p w14:paraId="364C0BC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FBA510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FDF381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51CA3CD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9CD0DF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11F037B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926" w:type="dxa"/>
            <w:vMerge w:val="continue"/>
            <w:tcBorders>
              <w:tl2br w:val="nil"/>
              <w:tr2bl w:val="nil"/>
            </w:tcBorders>
            <w:vAlign w:val="center"/>
          </w:tcPr>
          <w:p w14:paraId="2667737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DAC5C7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041D396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Cs w:val="21"/>
              </w:rPr>
              <w:t>320217884000</w:t>
            </w:r>
          </w:p>
        </w:tc>
        <w:tc>
          <w:tcPr>
            <w:tcW w:w="1282" w:type="dxa"/>
            <w:tcBorders>
              <w:tl2br w:val="nil"/>
              <w:tr2bl w:val="nil"/>
            </w:tcBorders>
            <w:shd w:val="clear" w:color="auto" w:fill="auto"/>
            <w:vAlign w:val="center"/>
          </w:tcPr>
          <w:p w14:paraId="1AEFC27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Cs w:val="21"/>
              </w:rPr>
              <w:t>对建设单位未按约定及时足额向农民工工资专用账户拨付工程款中的人工费用的处罚</w:t>
            </w:r>
          </w:p>
        </w:tc>
        <w:tc>
          <w:tcPr>
            <w:tcW w:w="1016" w:type="dxa"/>
            <w:vMerge w:val="continue"/>
            <w:tcBorders>
              <w:tl2br w:val="nil"/>
              <w:tr2bl w:val="nil"/>
            </w:tcBorders>
            <w:vAlign w:val="center"/>
          </w:tcPr>
          <w:p w14:paraId="6DC36EF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59AE9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536" w:type="dxa"/>
            <w:vMerge w:val="continue"/>
            <w:tcBorders>
              <w:tl2br w:val="nil"/>
              <w:tr2bl w:val="nil"/>
            </w:tcBorders>
            <w:vAlign w:val="center"/>
          </w:tcPr>
          <w:p w14:paraId="2147AA0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3E6CE08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3C362A5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239F81E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69D071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6F2997F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926" w:type="dxa"/>
            <w:vMerge w:val="continue"/>
            <w:tcBorders>
              <w:tl2br w:val="nil"/>
              <w:tr2bl w:val="nil"/>
            </w:tcBorders>
            <w:vAlign w:val="center"/>
          </w:tcPr>
          <w:p w14:paraId="2537CA9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CBFCD9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7361392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Cs w:val="21"/>
              </w:rPr>
              <w:t>320217883000</w:t>
            </w:r>
          </w:p>
        </w:tc>
        <w:tc>
          <w:tcPr>
            <w:tcW w:w="1282" w:type="dxa"/>
            <w:tcBorders>
              <w:tl2br w:val="nil"/>
              <w:tr2bl w:val="nil"/>
            </w:tcBorders>
            <w:shd w:val="clear" w:color="auto" w:fill="auto"/>
            <w:vAlign w:val="center"/>
          </w:tcPr>
          <w:p w14:paraId="64B7609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Times New Roman" w:hAnsi="方正仿宋_GBK" w:eastAsia="方正仿宋_GBK"/>
                <w:szCs w:val="21"/>
              </w:rPr>
              <w:t>对建设单位或者施工总承包单位拒不提供或者无法提供工程施工合同、农民工工资专用账户有关资料的处罚</w:t>
            </w:r>
          </w:p>
        </w:tc>
        <w:tc>
          <w:tcPr>
            <w:tcW w:w="1016" w:type="dxa"/>
            <w:vMerge w:val="continue"/>
            <w:tcBorders>
              <w:tl2br w:val="nil"/>
              <w:tr2bl w:val="nil"/>
            </w:tcBorders>
            <w:vAlign w:val="center"/>
          </w:tcPr>
          <w:p w14:paraId="1F581F7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4368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536" w:type="dxa"/>
            <w:vMerge w:val="restart"/>
            <w:tcBorders>
              <w:tl2br w:val="nil"/>
              <w:tr2bl w:val="nil"/>
            </w:tcBorders>
            <w:vAlign w:val="center"/>
          </w:tcPr>
          <w:p w14:paraId="6973135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5</w:t>
            </w:r>
          </w:p>
        </w:tc>
        <w:tc>
          <w:tcPr>
            <w:tcW w:w="1324" w:type="dxa"/>
            <w:vMerge w:val="restart"/>
            <w:tcBorders>
              <w:tl2br w:val="nil"/>
              <w:tr2bl w:val="nil"/>
            </w:tcBorders>
            <w:vAlign w:val="center"/>
          </w:tcPr>
          <w:p w14:paraId="228296AA">
            <w:pPr>
              <w:keepNext w:val="0"/>
              <w:keepLines w:val="0"/>
              <w:suppressLineNumbers w:val="0"/>
              <w:overflowPunct w:val="0"/>
              <w:autoSpaceDE w:val="0"/>
              <w:autoSpaceDN w:val="0"/>
              <w:spacing w:before="0" w:beforeAutospacing="0" w:after="0" w:afterAutospacing="0"/>
              <w:ind w:left="0" w:right="0"/>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Times New Roman" w:hAnsi="方正仿宋_GBK" w:eastAsia="方正仿宋_GBK"/>
                <w:szCs w:val="21"/>
                <w:lang w:val="en-US" w:eastAsia="zh-CN"/>
              </w:rPr>
              <w:t>对建筑工程取得施工许可情况的行政检查</w:t>
            </w:r>
          </w:p>
        </w:tc>
        <w:tc>
          <w:tcPr>
            <w:tcW w:w="794" w:type="dxa"/>
            <w:vMerge w:val="restart"/>
            <w:tcBorders>
              <w:tl2br w:val="nil"/>
              <w:tr2bl w:val="nil"/>
            </w:tcBorders>
            <w:vAlign w:val="center"/>
          </w:tcPr>
          <w:p w14:paraId="3FF2C943">
            <w:pPr>
              <w:keepNext w:val="0"/>
              <w:keepLines w:val="0"/>
              <w:suppressLineNumbers w:val="0"/>
              <w:overflowPunct w:val="0"/>
              <w:autoSpaceDE w:val="0"/>
              <w:autoSpaceDN w:val="0"/>
              <w:spacing w:before="0" w:beforeAutospacing="0" w:after="0" w:afterAutospacing="0"/>
              <w:ind w:left="0" w:right="0"/>
              <w:jc w:val="center"/>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方正仿宋_GB2312" w:hAnsi="方正仿宋_GB2312" w:eastAsia="方正仿宋_GB2312" w:cs="方正仿宋_GB2312"/>
                <w:b w:val="0"/>
                <w:bCs/>
                <w:kern w:val="0"/>
                <w:sz w:val="21"/>
                <w:szCs w:val="21"/>
                <w:lang w:val="en-US" w:eastAsia="zh-CN"/>
              </w:rPr>
              <w:t>苏州市吴中区住建局</w:t>
            </w:r>
          </w:p>
        </w:tc>
        <w:tc>
          <w:tcPr>
            <w:tcW w:w="872" w:type="dxa"/>
            <w:vMerge w:val="restart"/>
            <w:tcBorders>
              <w:tl2br w:val="nil"/>
              <w:tr2bl w:val="nil"/>
            </w:tcBorders>
            <w:vAlign w:val="center"/>
          </w:tcPr>
          <w:p w14:paraId="5B947862">
            <w:pPr>
              <w:keepNext w:val="0"/>
              <w:keepLines w:val="0"/>
              <w:suppressLineNumbers w:val="0"/>
              <w:overflowPunct w:val="0"/>
              <w:autoSpaceDE w:val="0"/>
              <w:autoSpaceDN w:val="0"/>
              <w:spacing w:before="0" w:beforeAutospacing="0" w:after="0" w:afterAutospacing="0"/>
              <w:ind w:left="0" w:right="0"/>
              <w:jc w:val="center"/>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方正仿宋_GB2312" w:hAnsi="方正仿宋_GB2312" w:eastAsia="方正仿宋_GB2312" w:cs="方正仿宋_GB2312"/>
                <w:b w:val="0"/>
                <w:bCs/>
                <w:kern w:val="0"/>
                <w:sz w:val="21"/>
                <w:szCs w:val="21"/>
                <w:lang w:val="en-US" w:eastAsia="zh-CN"/>
              </w:rPr>
              <w:t>建管处</w:t>
            </w:r>
          </w:p>
        </w:tc>
        <w:tc>
          <w:tcPr>
            <w:tcW w:w="1010" w:type="dxa"/>
            <w:vMerge w:val="restart"/>
            <w:tcBorders>
              <w:tl2br w:val="nil"/>
              <w:tr2bl w:val="nil"/>
            </w:tcBorders>
            <w:vAlign w:val="center"/>
          </w:tcPr>
          <w:p w14:paraId="2655D7A0">
            <w:pPr>
              <w:keepNext w:val="0"/>
              <w:keepLines w:val="0"/>
              <w:suppressLineNumbers w:val="0"/>
              <w:overflowPunct w:val="0"/>
              <w:autoSpaceDE w:val="0"/>
              <w:autoSpaceDN w:val="0"/>
              <w:spacing w:before="0" w:beforeAutospacing="0" w:after="0" w:afterAutospacing="0" w:line="320" w:lineRule="exact"/>
              <w:ind w:left="0" w:right="0"/>
              <w:jc w:val="center"/>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方正仿宋_GB2312" w:hAnsi="方正仿宋_GB2312" w:eastAsia="方正仿宋_GB2312" w:cs="方正仿宋_GB2312"/>
                <w:b w:val="0"/>
                <w:bCs/>
                <w:kern w:val="0"/>
                <w:sz w:val="21"/>
                <w:szCs w:val="21"/>
                <w:lang w:val="en-US" w:eastAsia="zh-CN"/>
              </w:rPr>
              <w:t>区内建设工程项目</w:t>
            </w:r>
          </w:p>
        </w:tc>
        <w:tc>
          <w:tcPr>
            <w:tcW w:w="4922" w:type="dxa"/>
            <w:vMerge w:val="restart"/>
            <w:tcBorders>
              <w:tl2br w:val="nil"/>
              <w:tr2bl w:val="nil"/>
            </w:tcBorders>
            <w:shd w:val="clear" w:color="auto" w:fill="auto"/>
            <w:vAlign w:val="center"/>
          </w:tcPr>
          <w:p w14:paraId="49E6A38A">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 xml:space="preserve">【法律】《中华人民共和国行政许可法》 </w:t>
            </w:r>
          </w:p>
          <w:p w14:paraId="3E22FE39">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第三十一条 申请人申请行政许可，应当如实向行政机关提交有关材料和反映真实情况，并对其申请材料实质内容的真实性负责。行政机关不得要求申请人提交与其申请的行政许可事项无关的技术资料和其他材料。</w:t>
            </w:r>
          </w:p>
          <w:p w14:paraId="110B7440">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第六十九条第二款 被许可人以欺骗、贿赂等不正当手段取得行政许可的，应当予以撤销。</w:t>
            </w:r>
          </w:p>
          <w:p w14:paraId="7830D89F">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第七十九条 被许可人以欺骗、贿赂等不正当手段取得行政许可的，行政机关应当依法给予行政处罚；取得的行政许可属于直接关系公共安全、人身健康、生命财产安全事项的，申请人在三年内不得再次申请该行政许可；构成犯罪的，依法追究刑事责任。</w:t>
            </w:r>
          </w:p>
          <w:p w14:paraId="1D8EE193">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p>
          <w:p w14:paraId="645AFA65">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【法律】《中华人民共和国建筑法》</w:t>
            </w:r>
          </w:p>
          <w:p w14:paraId="4F19BAF8">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第七条　建筑工程开工前，建设单位应当按照国家有关规定向工程所在地县级以上人民政府建设行政主管部门申请领取施工许可证；但是，国务院建设行政主管部门确定的限额以下的小型工程除外。</w:t>
            </w:r>
          </w:p>
          <w:p w14:paraId="6010A902">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按照国务院规定的权限和程序批准开工报告的建筑工程，不再领取施工许可证。</w:t>
            </w:r>
          </w:p>
          <w:p w14:paraId="1C52C596">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p>
          <w:p w14:paraId="28407F34">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【行政法规】《建设工程质量管理条例》（国务院令第279号，根据中华人民共和国国务院令第714号修改）</w:t>
            </w:r>
          </w:p>
          <w:p w14:paraId="06EB812A">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第十三条 建设单位在开工前，应当按照国家有关规定办理工程质量监督手续，工程质量监督手续可以与施工许可证或者开工报告合并办理。</w:t>
            </w:r>
          </w:p>
          <w:p w14:paraId="7F839A92">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 xml:space="preserve">第五十七条 违反本条例规定，建设单位未取得施工许可证或者开工报告未经批准，擅自施工的，责令停止施工，限期改正，处工程合同价款1％以上2％以下的罚款。 </w:t>
            </w:r>
          </w:p>
          <w:p w14:paraId="41107BC7">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第七十三条 依照本条例规定，给予单位罚款处罚的，对单位直接负责的主管人员和其他直接责任人员处单位罚款数额５％以上１０％以下的罚款。</w:t>
            </w:r>
          </w:p>
          <w:p w14:paraId="77890B91">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第七十五条第一款 本条例规定的责令停业整顿、降低资质等级和吊销资质证书的行政处罚，由颁发资质证书的机关决定；其他行政处罚，由建设行政主管部门或者其他有关部门依照法定职权决定。</w:t>
            </w:r>
          </w:p>
          <w:p w14:paraId="64E77221">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p>
          <w:p w14:paraId="0ECA25A4">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【规章】《建筑工程施工许可管理办法》（住房和城乡建设部令第18号）</w:t>
            </w:r>
          </w:p>
          <w:p w14:paraId="670639CA">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第三条第二款 任何单位和个人不得将应该申请领取施工许可证的工程项目分解为若干限额以下的工程项目，规避申请领取施工许可证。</w:t>
            </w:r>
          </w:p>
          <w:p w14:paraId="1DFBB46B">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第十二条 对于未取得施工许可证或者为规避办理施工许可证将工程项目分解后擅自施工的，由有管辖权的发证机关责令停止施工，限期改正，对建设单位处工程合同价款1%以上2%以下罚款；对施工单位处3万元以下罚款。</w:t>
            </w:r>
          </w:p>
          <w:p w14:paraId="60D87A36">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第十三条　建设单位采用欺骗、贿赂等不正当手段取得施工许可证的，由原发证机关撤销施工许可证，责令停止施工，并处1万元以上3万元以下罚款；构成犯罪的，依法追究刑事责任。</w:t>
            </w:r>
          </w:p>
          <w:p w14:paraId="54A8AACD">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第十四条 建设单位隐瞒有关情况或者提供虚假材料申请施工许可证的，发证机关不予受理或者不予许可，并处1万元以上3万元以下罚款；构成犯罪的，依法追究刑事责任。</w:t>
            </w:r>
          </w:p>
          <w:p w14:paraId="68F965BB">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建设单位伪造或者涂改施工许可证的，由发证机关责令停止施工，并处1万元以上3万元以下罚款；构成犯罪的，依法追究刑事责任。</w:t>
            </w:r>
          </w:p>
          <w:p w14:paraId="2E4632AD">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第十五条 依照本办法规定，给予单位罚款处罚的，对单位直接负责的主管人员和其他直接责任人员处单位罚款数额5%以上10%以下罚款。</w:t>
            </w:r>
          </w:p>
          <w:p w14:paraId="52BDD207">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单位及相关责任人受到处罚的，作为不良行为记录予以通报。</w:t>
            </w:r>
          </w:p>
          <w:p w14:paraId="56CA16E9">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p>
          <w:p w14:paraId="1D75E15D">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【部门规章】《建筑业企业资质管理规定》（住房和城乡建设部令第22号）</w:t>
            </w:r>
          </w:p>
          <w:p w14:paraId="41266004">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第二十三条　企业申请建筑业企业资质升级、资质增项，在申请之日起前一年至资质许可决定作出前，有下列情形之一的，资质许可机关不予批准其建筑业企业资质升级申请和增项申请：</w:t>
            </w:r>
          </w:p>
          <w:p w14:paraId="7426BE98">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（三）未取得施工许可证擅自施工的；</w:t>
            </w:r>
          </w:p>
          <w:p w14:paraId="2600782C">
            <w:pPr>
              <w:keepNext w:val="0"/>
              <w:keepLines w:val="0"/>
              <w:suppressLineNumbers w:val="0"/>
              <w:spacing w:before="0" w:beforeAutospacing="0" w:after="0" w:afterAutospacing="0"/>
              <w:ind w:left="0" w:right="0" w:firstLine="420" w:firstLineChars="200"/>
              <w:rPr>
                <w:rFonts w:hint="eastAsia" w:ascii="Times New Roman" w:hAnsi="Times New Roman" w:eastAsia="方正仿宋_GBK" w:cs="Times New Roman"/>
                <w:kern w:val="0"/>
                <w:sz w:val="21"/>
                <w:szCs w:val="21"/>
                <w:shd w:val="clear" w:color="auto" w:fill="FFFFFF"/>
                <w:lang w:val="en-US" w:eastAsia="zh-CN" w:bidi="ar-SA"/>
              </w:rPr>
            </w:pPr>
            <w:r>
              <w:rPr>
                <w:rFonts w:hint="eastAsia" w:ascii="Times New Roman" w:hAnsi="方正仿宋_GBK" w:eastAsia="方正仿宋_GBK"/>
                <w:szCs w:val="21"/>
                <w:lang w:val="en-US" w:eastAsia="zh-CN"/>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p>
        </w:tc>
        <w:tc>
          <w:tcPr>
            <w:tcW w:w="926" w:type="dxa"/>
            <w:vMerge w:val="restart"/>
            <w:tcBorders>
              <w:tl2br w:val="nil"/>
              <w:tr2bl w:val="nil"/>
            </w:tcBorders>
            <w:vAlign w:val="center"/>
          </w:tcPr>
          <w:p w14:paraId="071A82B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现场检查、书面检查</w:t>
            </w:r>
          </w:p>
        </w:tc>
        <w:tc>
          <w:tcPr>
            <w:tcW w:w="1104" w:type="dxa"/>
            <w:vMerge w:val="restart"/>
            <w:tcBorders>
              <w:tl2br w:val="nil"/>
              <w:tr2bl w:val="nil"/>
            </w:tcBorders>
            <w:vAlign w:val="center"/>
          </w:tcPr>
          <w:p w14:paraId="728AA02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1-12月</w:t>
            </w:r>
          </w:p>
        </w:tc>
        <w:tc>
          <w:tcPr>
            <w:tcW w:w="1296" w:type="dxa"/>
            <w:tcBorders>
              <w:tl2br w:val="nil"/>
              <w:tr2bl w:val="nil"/>
            </w:tcBorders>
            <w:vAlign w:val="center"/>
          </w:tcPr>
          <w:p w14:paraId="5C645638">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320217536000</w:t>
            </w:r>
          </w:p>
          <w:p w14:paraId="5D5AFB2E">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1282" w:type="dxa"/>
            <w:tcBorders>
              <w:tl2br w:val="nil"/>
              <w:tr2bl w:val="nil"/>
            </w:tcBorders>
            <w:shd w:val="clear" w:color="auto" w:fill="auto"/>
            <w:vAlign w:val="center"/>
          </w:tcPr>
          <w:p w14:paraId="6C8B3189">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Times New Roman" w:hAnsi="方正仿宋_GBK" w:eastAsia="方正仿宋_GBK"/>
                <w:szCs w:val="21"/>
                <w:lang w:val="en-US" w:eastAsia="zh-CN"/>
              </w:rPr>
              <w:t>对建设单位采用欺骗、贿赂等不正当手段取得施工许可证的处罚</w:t>
            </w:r>
          </w:p>
        </w:tc>
        <w:tc>
          <w:tcPr>
            <w:tcW w:w="1016" w:type="dxa"/>
            <w:vMerge w:val="restart"/>
            <w:tcBorders>
              <w:tl2br w:val="nil"/>
              <w:tr2bl w:val="nil"/>
            </w:tcBorders>
            <w:vAlign w:val="center"/>
          </w:tcPr>
          <w:p w14:paraId="14B1233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r>
      <w:tr w14:paraId="465D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536" w:type="dxa"/>
            <w:vMerge w:val="continue"/>
            <w:tcBorders>
              <w:tl2br w:val="nil"/>
              <w:tr2bl w:val="nil"/>
            </w:tcBorders>
            <w:vAlign w:val="center"/>
          </w:tcPr>
          <w:p w14:paraId="68F640E4">
            <w:pPr>
              <w:keepNext w:val="0"/>
              <w:keepLines w:val="0"/>
              <w:suppressLineNumbers w:val="0"/>
              <w:spacing w:before="0" w:beforeAutospacing="0" w:after="0" w:afterAutospacing="0"/>
              <w:ind w:left="0" w:right="0"/>
              <w:jc w:val="left"/>
              <w:rPr>
                <w:rFonts w:hint="default"/>
              </w:rPr>
            </w:pPr>
          </w:p>
        </w:tc>
        <w:tc>
          <w:tcPr>
            <w:tcW w:w="1324" w:type="dxa"/>
            <w:vMerge w:val="continue"/>
            <w:tcBorders>
              <w:tl2br w:val="nil"/>
              <w:tr2bl w:val="nil"/>
            </w:tcBorders>
            <w:vAlign w:val="center"/>
          </w:tcPr>
          <w:p w14:paraId="2797E5BE">
            <w:pPr>
              <w:keepNext w:val="0"/>
              <w:keepLines w:val="0"/>
              <w:suppressLineNumbers w:val="0"/>
              <w:spacing w:before="0" w:beforeAutospacing="0" w:after="0" w:afterAutospacing="0"/>
              <w:ind w:left="0" w:right="0"/>
              <w:jc w:val="left"/>
              <w:rPr>
                <w:rFonts w:hint="default"/>
              </w:rPr>
            </w:pPr>
          </w:p>
        </w:tc>
        <w:tc>
          <w:tcPr>
            <w:tcW w:w="794" w:type="dxa"/>
            <w:vMerge w:val="continue"/>
            <w:tcBorders>
              <w:tl2br w:val="nil"/>
              <w:tr2bl w:val="nil"/>
            </w:tcBorders>
            <w:vAlign w:val="center"/>
          </w:tcPr>
          <w:p w14:paraId="08E759FC">
            <w:pPr>
              <w:keepNext w:val="0"/>
              <w:keepLines w:val="0"/>
              <w:suppressLineNumbers w:val="0"/>
              <w:spacing w:before="0" w:beforeAutospacing="0" w:after="0" w:afterAutospacing="0"/>
              <w:ind w:left="0" w:right="0"/>
              <w:jc w:val="left"/>
              <w:rPr>
                <w:rFonts w:hint="default"/>
              </w:rPr>
            </w:pPr>
          </w:p>
        </w:tc>
        <w:tc>
          <w:tcPr>
            <w:tcW w:w="872" w:type="dxa"/>
            <w:vMerge w:val="continue"/>
            <w:tcBorders>
              <w:tl2br w:val="nil"/>
              <w:tr2bl w:val="nil"/>
            </w:tcBorders>
            <w:vAlign w:val="center"/>
          </w:tcPr>
          <w:p w14:paraId="69826054">
            <w:pPr>
              <w:keepNext w:val="0"/>
              <w:keepLines w:val="0"/>
              <w:suppressLineNumbers w:val="0"/>
              <w:spacing w:before="0" w:beforeAutospacing="0" w:after="0" w:afterAutospacing="0"/>
              <w:ind w:left="0" w:right="0"/>
              <w:jc w:val="left"/>
              <w:rPr>
                <w:rFonts w:hint="default"/>
              </w:rPr>
            </w:pPr>
          </w:p>
        </w:tc>
        <w:tc>
          <w:tcPr>
            <w:tcW w:w="1010" w:type="dxa"/>
            <w:vMerge w:val="continue"/>
            <w:tcBorders>
              <w:tl2br w:val="nil"/>
              <w:tr2bl w:val="nil"/>
            </w:tcBorders>
            <w:vAlign w:val="center"/>
          </w:tcPr>
          <w:p w14:paraId="1AFD3D63">
            <w:pPr>
              <w:keepNext w:val="0"/>
              <w:keepLines w:val="0"/>
              <w:suppressLineNumbers w:val="0"/>
              <w:spacing w:before="0" w:beforeAutospacing="0" w:after="0" w:afterAutospacing="0"/>
              <w:ind w:left="0" w:right="0"/>
              <w:jc w:val="left"/>
              <w:rPr>
                <w:rFonts w:hint="default"/>
              </w:rPr>
            </w:pPr>
          </w:p>
        </w:tc>
        <w:tc>
          <w:tcPr>
            <w:tcW w:w="4922" w:type="dxa"/>
            <w:vMerge w:val="continue"/>
            <w:tcBorders>
              <w:tl2br w:val="nil"/>
              <w:tr2bl w:val="nil"/>
            </w:tcBorders>
            <w:shd w:val="clear" w:color="auto" w:fill="auto"/>
            <w:vAlign w:val="center"/>
          </w:tcPr>
          <w:p w14:paraId="052B0CFA">
            <w:pPr>
              <w:keepNext w:val="0"/>
              <w:keepLines w:val="0"/>
              <w:suppressLineNumbers w:val="0"/>
              <w:spacing w:before="0" w:beforeAutospacing="0" w:after="0" w:afterAutospacing="0"/>
              <w:ind w:left="0" w:right="0"/>
              <w:jc w:val="left"/>
              <w:rPr>
                <w:rFonts w:hint="default"/>
              </w:rPr>
            </w:pPr>
          </w:p>
        </w:tc>
        <w:tc>
          <w:tcPr>
            <w:tcW w:w="926" w:type="dxa"/>
            <w:vMerge w:val="continue"/>
            <w:tcBorders>
              <w:tl2br w:val="nil"/>
              <w:tr2bl w:val="nil"/>
            </w:tcBorders>
            <w:vAlign w:val="center"/>
          </w:tcPr>
          <w:p w14:paraId="5BB47728">
            <w:pPr>
              <w:keepNext w:val="0"/>
              <w:keepLines w:val="0"/>
              <w:suppressLineNumbers w:val="0"/>
              <w:spacing w:before="0" w:beforeAutospacing="0" w:after="0" w:afterAutospacing="0"/>
              <w:ind w:left="0" w:right="0"/>
              <w:jc w:val="left"/>
              <w:rPr>
                <w:rFonts w:hint="default"/>
              </w:rPr>
            </w:pPr>
          </w:p>
        </w:tc>
        <w:tc>
          <w:tcPr>
            <w:tcW w:w="1104" w:type="dxa"/>
            <w:vMerge w:val="continue"/>
            <w:tcBorders>
              <w:tl2br w:val="nil"/>
              <w:tr2bl w:val="nil"/>
            </w:tcBorders>
            <w:vAlign w:val="center"/>
          </w:tcPr>
          <w:p w14:paraId="662FD8E9">
            <w:pPr>
              <w:keepNext w:val="0"/>
              <w:keepLines w:val="0"/>
              <w:suppressLineNumbers w:val="0"/>
              <w:spacing w:before="0" w:beforeAutospacing="0" w:after="0" w:afterAutospacing="0"/>
              <w:ind w:left="0" w:right="0"/>
              <w:jc w:val="left"/>
              <w:rPr>
                <w:rFonts w:hint="default"/>
              </w:rPr>
            </w:pPr>
          </w:p>
        </w:tc>
        <w:tc>
          <w:tcPr>
            <w:tcW w:w="1296" w:type="dxa"/>
            <w:tcBorders>
              <w:tl2br w:val="nil"/>
              <w:tr2bl w:val="nil"/>
            </w:tcBorders>
            <w:vAlign w:val="center"/>
          </w:tcPr>
          <w:p w14:paraId="5876849D">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320217483000</w:t>
            </w:r>
          </w:p>
          <w:p w14:paraId="0343CDE8">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1282" w:type="dxa"/>
            <w:tcBorders>
              <w:tl2br w:val="nil"/>
              <w:tr2bl w:val="nil"/>
            </w:tcBorders>
            <w:shd w:val="clear" w:color="auto" w:fill="auto"/>
            <w:vAlign w:val="center"/>
          </w:tcPr>
          <w:p w14:paraId="69E2675C">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Times New Roman" w:hAnsi="方正仿宋_GBK" w:eastAsia="方正仿宋_GBK"/>
                <w:szCs w:val="21"/>
                <w:lang w:val="en-US" w:eastAsia="zh-CN"/>
              </w:rPr>
              <w:t>对建设单位伪造或者涂改施工许可证的处罚</w:t>
            </w:r>
          </w:p>
        </w:tc>
        <w:tc>
          <w:tcPr>
            <w:tcW w:w="1016" w:type="dxa"/>
            <w:vMerge w:val="continue"/>
            <w:tcBorders>
              <w:tl2br w:val="nil"/>
              <w:tr2bl w:val="nil"/>
            </w:tcBorders>
            <w:vAlign w:val="center"/>
          </w:tcPr>
          <w:p w14:paraId="2CF879C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r>
      <w:tr w14:paraId="1EBC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536" w:type="dxa"/>
            <w:vMerge w:val="continue"/>
            <w:tcBorders>
              <w:tl2br w:val="nil"/>
              <w:tr2bl w:val="nil"/>
            </w:tcBorders>
            <w:vAlign w:val="center"/>
          </w:tcPr>
          <w:p w14:paraId="089BC81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1324" w:type="dxa"/>
            <w:vMerge w:val="continue"/>
            <w:tcBorders>
              <w:tl2br w:val="nil"/>
              <w:tr2bl w:val="nil"/>
            </w:tcBorders>
            <w:vAlign w:val="center"/>
          </w:tcPr>
          <w:p w14:paraId="2EE0F9E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794" w:type="dxa"/>
            <w:vMerge w:val="continue"/>
            <w:tcBorders>
              <w:tl2br w:val="nil"/>
              <w:tr2bl w:val="nil"/>
            </w:tcBorders>
            <w:vAlign w:val="center"/>
          </w:tcPr>
          <w:p w14:paraId="6858A04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872" w:type="dxa"/>
            <w:vMerge w:val="continue"/>
            <w:tcBorders>
              <w:tl2br w:val="nil"/>
              <w:tr2bl w:val="nil"/>
            </w:tcBorders>
            <w:vAlign w:val="center"/>
          </w:tcPr>
          <w:p w14:paraId="7496C6C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1010" w:type="dxa"/>
            <w:vMerge w:val="continue"/>
            <w:tcBorders>
              <w:tl2br w:val="nil"/>
              <w:tr2bl w:val="nil"/>
            </w:tcBorders>
            <w:vAlign w:val="center"/>
          </w:tcPr>
          <w:p w14:paraId="3AA0567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4922" w:type="dxa"/>
            <w:vMerge w:val="continue"/>
            <w:tcBorders>
              <w:tl2br w:val="nil"/>
              <w:tr2bl w:val="nil"/>
            </w:tcBorders>
            <w:shd w:val="clear" w:color="auto" w:fill="auto"/>
            <w:vAlign w:val="center"/>
          </w:tcPr>
          <w:p w14:paraId="24E9FDB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926" w:type="dxa"/>
            <w:vMerge w:val="continue"/>
            <w:tcBorders>
              <w:tl2br w:val="nil"/>
              <w:tr2bl w:val="nil"/>
            </w:tcBorders>
            <w:vAlign w:val="center"/>
          </w:tcPr>
          <w:p w14:paraId="782EF4A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1104" w:type="dxa"/>
            <w:vMerge w:val="continue"/>
            <w:tcBorders>
              <w:tl2br w:val="nil"/>
              <w:tr2bl w:val="nil"/>
            </w:tcBorders>
            <w:vAlign w:val="center"/>
          </w:tcPr>
          <w:p w14:paraId="10DC87F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1296" w:type="dxa"/>
            <w:tcBorders>
              <w:tl2br w:val="nil"/>
              <w:tr2bl w:val="nil"/>
            </w:tcBorders>
            <w:vAlign w:val="center"/>
          </w:tcPr>
          <w:p w14:paraId="5BDAD889">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Times New Roman" w:hAnsi="方正仿宋_GBK" w:eastAsia="方正仿宋_GBK"/>
                <w:szCs w:val="21"/>
                <w:lang w:val="en-US" w:eastAsia="zh-CN"/>
              </w:rPr>
              <w:t>320217482000</w:t>
            </w:r>
          </w:p>
        </w:tc>
        <w:tc>
          <w:tcPr>
            <w:tcW w:w="1282" w:type="dxa"/>
            <w:tcBorders>
              <w:tl2br w:val="nil"/>
              <w:tr2bl w:val="nil"/>
            </w:tcBorders>
            <w:shd w:val="clear" w:color="auto" w:fill="auto"/>
            <w:vAlign w:val="center"/>
          </w:tcPr>
          <w:p w14:paraId="4024DA90">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Times New Roman" w:hAnsi="方正仿宋_GBK" w:eastAsia="方正仿宋_GBK"/>
                <w:szCs w:val="21"/>
                <w:lang w:val="en-US" w:eastAsia="zh-CN"/>
              </w:rPr>
              <w:t>对建设单位隐瞒有关情况或者提供虚假材料申请施工许可证的处罚</w:t>
            </w:r>
          </w:p>
        </w:tc>
        <w:tc>
          <w:tcPr>
            <w:tcW w:w="1016" w:type="dxa"/>
            <w:vMerge w:val="continue"/>
            <w:tcBorders>
              <w:tl2br w:val="nil"/>
              <w:tr2bl w:val="nil"/>
            </w:tcBorders>
            <w:vAlign w:val="center"/>
          </w:tcPr>
          <w:p w14:paraId="4960EDC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r>
      <w:tr w14:paraId="17318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536" w:type="dxa"/>
            <w:vMerge w:val="continue"/>
            <w:tcBorders>
              <w:tl2br w:val="nil"/>
              <w:tr2bl w:val="nil"/>
            </w:tcBorders>
            <w:vAlign w:val="center"/>
          </w:tcPr>
          <w:p w14:paraId="7460542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1324" w:type="dxa"/>
            <w:vMerge w:val="continue"/>
            <w:tcBorders>
              <w:tl2br w:val="nil"/>
              <w:tr2bl w:val="nil"/>
            </w:tcBorders>
            <w:vAlign w:val="center"/>
          </w:tcPr>
          <w:p w14:paraId="7EA2673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794" w:type="dxa"/>
            <w:vMerge w:val="continue"/>
            <w:tcBorders>
              <w:tl2br w:val="nil"/>
              <w:tr2bl w:val="nil"/>
            </w:tcBorders>
            <w:vAlign w:val="center"/>
          </w:tcPr>
          <w:p w14:paraId="23FB4EA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872" w:type="dxa"/>
            <w:vMerge w:val="continue"/>
            <w:tcBorders>
              <w:tl2br w:val="nil"/>
              <w:tr2bl w:val="nil"/>
            </w:tcBorders>
            <w:vAlign w:val="center"/>
          </w:tcPr>
          <w:p w14:paraId="0DE3F81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1010" w:type="dxa"/>
            <w:vMerge w:val="continue"/>
            <w:tcBorders>
              <w:tl2br w:val="nil"/>
              <w:tr2bl w:val="nil"/>
            </w:tcBorders>
            <w:vAlign w:val="center"/>
          </w:tcPr>
          <w:p w14:paraId="052F4D2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4922" w:type="dxa"/>
            <w:vMerge w:val="continue"/>
            <w:tcBorders>
              <w:tl2br w:val="nil"/>
              <w:tr2bl w:val="nil"/>
            </w:tcBorders>
            <w:shd w:val="clear" w:color="auto" w:fill="auto"/>
            <w:vAlign w:val="center"/>
          </w:tcPr>
          <w:p w14:paraId="3717757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926" w:type="dxa"/>
            <w:vMerge w:val="continue"/>
            <w:tcBorders>
              <w:tl2br w:val="nil"/>
              <w:tr2bl w:val="nil"/>
            </w:tcBorders>
            <w:vAlign w:val="center"/>
          </w:tcPr>
          <w:p w14:paraId="358891D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1104" w:type="dxa"/>
            <w:vMerge w:val="continue"/>
            <w:tcBorders>
              <w:tl2br w:val="nil"/>
              <w:tr2bl w:val="nil"/>
            </w:tcBorders>
            <w:vAlign w:val="center"/>
          </w:tcPr>
          <w:p w14:paraId="082DC58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1296" w:type="dxa"/>
            <w:tcBorders>
              <w:tl2br w:val="nil"/>
              <w:tr2bl w:val="nil"/>
            </w:tcBorders>
            <w:vAlign w:val="center"/>
          </w:tcPr>
          <w:p w14:paraId="44693850">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Times New Roman" w:hAnsi="方正仿宋_GBK" w:eastAsia="方正仿宋_GBK"/>
                <w:szCs w:val="21"/>
                <w:lang w:val="en-US" w:eastAsia="zh-CN"/>
              </w:rPr>
              <w:t>320217033000</w:t>
            </w:r>
          </w:p>
        </w:tc>
        <w:tc>
          <w:tcPr>
            <w:tcW w:w="1282" w:type="dxa"/>
            <w:tcBorders>
              <w:tl2br w:val="nil"/>
              <w:tr2bl w:val="nil"/>
            </w:tcBorders>
            <w:shd w:val="clear" w:color="auto" w:fill="auto"/>
            <w:vAlign w:val="center"/>
          </w:tcPr>
          <w:p w14:paraId="639A76B0">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对未取得施工许可证或者为规避办理施工许可证将工程项目分解后擅自施工的处罚</w:t>
            </w:r>
          </w:p>
          <w:p w14:paraId="6AE21494">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1016" w:type="dxa"/>
            <w:vMerge w:val="continue"/>
            <w:tcBorders>
              <w:tl2br w:val="nil"/>
              <w:tr2bl w:val="nil"/>
            </w:tcBorders>
            <w:vAlign w:val="center"/>
          </w:tcPr>
          <w:p w14:paraId="50AB0AF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r>
      <w:tr w14:paraId="0C122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vAlign w:val="center"/>
          </w:tcPr>
          <w:p w14:paraId="13AE2876">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Times New Roman" w:hAnsi="Times New Roman"/>
                <w:kern w:val="0"/>
                <w:sz w:val="21"/>
                <w:szCs w:val="21"/>
                <w:lang w:val="en-US" w:eastAsia="zh-CN"/>
              </w:rPr>
              <w:t>6</w:t>
            </w:r>
          </w:p>
        </w:tc>
        <w:tc>
          <w:tcPr>
            <w:tcW w:w="1324" w:type="dxa"/>
            <w:tcBorders>
              <w:tl2br w:val="nil"/>
              <w:tr2bl w:val="nil"/>
            </w:tcBorders>
            <w:vAlign w:val="center"/>
          </w:tcPr>
          <w:p w14:paraId="1573FB57">
            <w:pPr>
              <w:keepNext w:val="0"/>
              <w:keepLines w:val="0"/>
              <w:suppressLineNumbers w:val="0"/>
              <w:overflowPunct w:val="0"/>
              <w:autoSpaceDE w:val="0"/>
              <w:autoSpaceDN w:val="0"/>
              <w:spacing w:before="0" w:beforeAutospacing="0" w:after="0" w:afterAutospacing="0"/>
              <w:ind w:left="0" w:right="0"/>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Times New Roman" w:hAnsi="方正仿宋_GBK" w:eastAsia="方正仿宋_GBK"/>
                <w:szCs w:val="21"/>
                <w:lang w:val="en-US" w:eastAsia="zh-CN"/>
              </w:rPr>
              <w:t>对建筑工程承发包市场行为的行政检查</w:t>
            </w:r>
          </w:p>
        </w:tc>
        <w:tc>
          <w:tcPr>
            <w:tcW w:w="794" w:type="dxa"/>
            <w:tcBorders>
              <w:tl2br w:val="nil"/>
              <w:tr2bl w:val="nil"/>
            </w:tcBorders>
            <w:vAlign w:val="center"/>
          </w:tcPr>
          <w:p w14:paraId="7B2C1183">
            <w:pPr>
              <w:keepNext w:val="0"/>
              <w:keepLines w:val="0"/>
              <w:suppressLineNumbers w:val="0"/>
              <w:overflowPunct w:val="0"/>
              <w:autoSpaceDE w:val="0"/>
              <w:autoSpaceDN w:val="0"/>
              <w:spacing w:before="0" w:beforeAutospacing="0" w:after="0" w:afterAutospacing="0"/>
              <w:ind w:left="0" w:right="0"/>
              <w:jc w:val="cente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pPr>
            <w:r>
              <w:rPr>
                <w:rFonts w:hint="eastAsia" w:ascii="方正仿宋_GB2312" w:hAnsi="方正仿宋_GB2312" w:eastAsia="方正仿宋_GB2312" w:cs="方正仿宋_GB2312"/>
                <w:b w:val="0"/>
                <w:bCs/>
                <w:kern w:val="0"/>
                <w:sz w:val="21"/>
                <w:szCs w:val="21"/>
                <w:lang w:val="en-US" w:eastAsia="zh-CN"/>
              </w:rPr>
              <w:t>吴中区住建局</w:t>
            </w:r>
          </w:p>
        </w:tc>
        <w:tc>
          <w:tcPr>
            <w:tcW w:w="872" w:type="dxa"/>
            <w:tcBorders>
              <w:tl2br w:val="nil"/>
              <w:tr2bl w:val="nil"/>
            </w:tcBorders>
            <w:vAlign w:val="center"/>
          </w:tcPr>
          <w:p w14:paraId="20E19C0A">
            <w:pPr>
              <w:keepNext w:val="0"/>
              <w:keepLines w:val="0"/>
              <w:suppressLineNumbers w:val="0"/>
              <w:overflowPunct w:val="0"/>
              <w:autoSpaceDE w:val="0"/>
              <w:autoSpaceDN w:val="0"/>
              <w:spacing w:before="0" w:beforeAutospacing="0" w:after="0" w:afterAutospacing="0"/>
              <w:ind w:left="0" w:right="0"/>
              <w:jc w:val="cente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方正仿宋_GB2312" w:hAnsi="方正仿宋_GB2312" w:eastAsia="方正仿宋_GB2312" w:cs="方正仿宋_GB2312"/>
                <w:b w:val="0"/>
                <w:bCs/>
                <w:kern w:val="0"/>
                <w:sz w:val="21"/>
                <w:szCs w:val="21"/>
                <w:lang w:val="en-US" w:eastAsia="zh-CN"/>
              </w:rPr>
              <w:t>建管处</w:t>
            </w:r>
          </w:p>
        </w:tc>
        <w:tc>
          <w:tcPr>
            <w:tcW w:w="1010" w:type="dxa"/>
            <w:tcBorders>
              <w:tl2br w:val="nil"/>
              <w:tr2bl w:val="nil"/>
            </w:tcBorders>
            <w:vAlign w:val="center"/>
          </w:tcPr>
          <w:p w14:paraId="7A36DA3E">
            <w:pPr>
              <w:keepNext w:val="0"/>
              <w:keepLines w:val="0"/>
              <w:suppressLineNumbers w:val="0"/>
              <w:overflowPunct w:val="0"/>
              <w:autoSpaceDE w:val="0"/>
              <w:autoSpaceDN w:val="0"/>
              <w:spacing w:before="0" w:beforeAutospacing="0" w:after="0" w:afterAutospacing="0" w:line="320" w:lineRule="exact"/>
              <w:ind w:left="0" w:right="0"/>
              <w:jc w:val="cente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方正仿宋_GB2312" w:hAnsi="方正仿宋_GB2312" w:eastAsia="方正仿宋_GB2312" w:cs="方正仿宋_GB2312"/>
                <w:b w:val="0"/>
                <w:bCs/>
                <w:kern w:val="0"/>
                <w:sz w:val="21"/>
                <w:szCs w:val="21"/>
                <w:lang w:val="en-US" w:eastAsia="zh-CN"/>
              </w:rPr>
              <w:t>区内建设工程项目</w:t>
            </w:r>
          </w:p>
        </w:tc>
        <w:tc>
          <w:tcPr>
            <w:tcW w:w="4922" w:type="dxa"/>
            <w:tcBorders>
              <w:tl2br w:val="nil"/>
              <w:tr2bl w:val="nil"/>
            </w:tcBorders>
            <w:shd w:val="clear" w:color="auto" w:fill="auto"/>
            <w:vAlign w:val="center"/>
          </w:tcPr>
          <w:p w14:paraId="1E92B575">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【行政法规】《建设工程质量管理条例》（国务院令第279号）</w:t>
            </w:r>
          </w:p>
          <w:p w14:paraId="5A1BA987">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第七条第三款　施工单位不得转包或者违法分包工程第六十二条第一款　违反本条例规定，承包单位将承包的工程转包或者违法分包的，责令改正，没收违法所得，对勘察、设计单位处合同约定的勘察费、设计费25％以上50％以下的罚款；对施工单位处工程合同价款0.5％以上1％以下的罚款；可以责令停业整顿，降低资质等级；情节严重的，吊销资质证书。</w:t>
            </w:r>
          </w:p>
          <w:p w14:paraId="4307A744">
            <w:pPr>
              <w:keepNext w:val="0"/>
              <w:keepLines w:val="0"/>
              <w:widowControl/>
              <w:suppressLineNumbers w:val="0"/>
              <w:autoSpaceDE w:val="0"/>
              <w:autoSpaceDN w:val="0"/>
              <w:spacing w:before="0" w:beforeAutospacing="0" w:after="0" w:afterAutospacing="0" w:line="240" w:lineRule="exact"/>
              <w:ind w:left="0" w:right="0"/>
              <w:jc w:val="left"/>
              <w:rPr>
                <w:rFonts w:hint="eastAsia" w:ascii="Times New Roman" w:hAnsi="方正仿宋_GBK" w:eastAsia="方正仿宋_GBK"/>
                <w:szCs w:val="21"/>
                <w:lang w:val="en-US" w:eastAsia="zh-CN"/>
              </w:rPr>
            </w:pPr>
            <w:r>
              <w:rPr>
                <w:rFonts w:hint="eastAsia" w:ascii="Times New Roman" w:hAnsi="方正仿宋_GBK" w:eastAsia="方正仿宋_GBK"/>
                <w:szCs w:val="21"/>
                <w:lang w:val="en-US" w:eastAsia="zh-CN"/>
              </w:rPr>
              <w:t>第七十三条 依照本条例规定，给予单位罚款处罚的，对单位直接负责的主管人员和其他直接责任人员处单位罚款数额５％以上１０％以下的罚款。</w:t>
            </w:r>
          </w:p>
          <w:p w14:paraId="238F6D79">
            <w:pPr>
              <w:keepNext w:val="0"/>
              <w:keepLines w:val="0"/>
              <w:suppressLineNumbers w:val="0"/>
              <w:spacing w:before="0" w:beforeAutospacing="0" w:after="0" w:afterAutospacing="0"/>
              <w:ind w:left="0" w:right="0" w:firstLine="420" w:firstLineChars="200"/>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926" w:type="dxa"/>
            <w:tcBorders>
              <w:tl2br w:val="nil"/>
              <w:tr2bl w:val="nil"/>
            </w:tcBorders>
            <w:vAlign w:val="center"/>
          </w:tcPr>
          <w:p w14:paraId="0FEADE86">
            <w:pPr>
              <w:keepNext w:val="0"/>
              <w:keepLines w:val="0"/>
              <w:suppressLineNumbers w:val="0"/>
              <w:spacing w:before="0" w:beforeAutospacing="0" w:after="0" w:afterAutospacing="0"/>
              <w:ind w:left="0" w:right="0"/>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方正仿宋_GB2312" w:hAnsi="方正仿宋_GB2312" w:eastAsia="方正仿宋_GB2312" w:cs="方正仿宋_GB2312"/>
                <w:b w:val="0"/>
                <w:bCs/>
                <w:kern w:val="0"/>
                <w:sz w:val="21"/>
                <w:szCs w:val="21"/>
                <w:lang w:val="en-US" w:eastAsia="zh-CN"/>
              </w:rPr>
              <w:t>现场检查、书面检查</w:t>
            </w:r>
          </w:p>
        </w:tc>
        <w:tc>
          <w:tcPr>
            <w:tcW w:w="1104" w:type="dxa"/>
            <w:tcBorders>
              <w:tl2br w:val="nil"/>
              <w:tr2bl w:val="nil"/>
            </w:tcBorders>
            <w:vAlign w:val="center"/>
          </w:tcPr>
          <w:p w14:paraId="02F39723">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Times New Roman" w:hAnsi="Times New Roman" w:eastAsia="方正仿宋_GB2312" w:cs="Times New Roman"/>
                <w:b w:val="0"/>
                <w:bCs/>
                <w:kern w:val="0"/>
                <w:sz w:val="21"/>
                <w:szCs w:val="21"/>
                <w:lang w:val="en-US" w:eastAsia="zh-CN"/>
              </w:rPr>
              <w:t>5-11月</w:t>
            </w:r>
          </w:p>
        </w:tc>
        <w:tc>
          <w:tcPr>
            <w:tcW w:w="1296" w:type="dxa"/>
            <w:tcBorders>
              <w:tl2br w:val="nil"/>
              <w:tr2bl w:val="nil"/>
            </w:tcBorders>
            <w:vAlign w:val="center"/>
          </w:tcPr>
          <w:p w14:paraId="273B9F8F">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Times New Roman" w:hAnsi="方正仿宋_GBK" w:eastAsia="方正仿宋_GBK"/>
                <w:szCs w:val="21"/>
                <w:lang w:val="en-US" w:eastAsia="zh-CN"/>
              </w:rPr>
              <w:t>320217064000</w:t>
            </w:r>
          </w:p>
        </w:tc>
        <w:tc>
          <w:tcPr>
            <w:tcW w:w="1282" w:type="dxa"/>
            <w:tcBorders>
              <w:tl2br w:val="nil"/>
              <w:tr2bl w:val="nil"/>
            </w:tcBorders>
            <w:shd w:val="clear" w:color="auto" w:fill="auto"/>
            <w:vAlign w:val="center"/>
          </w:tcPr>
          <w:p w14:paraId="3967C0F8">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Times New Roman" w:hAnsi="方正仿宋_GBK" w:eastAsia="方正仿宋_GBK"/>
                <w:szCs w:val="21"/>
                <w:lang w:val="en-US" w:eastAsia="zh-CN"/>
              </w:rPr>
              <w:t>对施工单位将所承包的工程转包或者违法分包的处罚</w:t>
            </w:r>
          </w:p>
        </w:tc>
        <w:tc>
          <w:tcPr>
            <w:tcW w:w="1016" w:type="dxa"/>
            <w:tcBorders>
              <w:tl2br w:val="nil"/>
              <w:tr2bl w:val="nil"/>
            </w:tcBorders>
            <w:vAlign w:val="center"/>
          </w:tcPr>
          <w:p w14:paraId="2D8A7A5F">
            <w:pPr>
              <w:keepNext w:val="0"/>
              <w:keepLines w:val="0"/>
              <w:suppressLineNumbers w:val="0"/>
              <w:spacing w:before="0" w:beforeAutospacing="0" w:after="0" w:afterAutospacing="0"/>
              <w:ind w:left="0" w:right="0"/>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r>
      <w:tr w14:paraId="1878F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trPr>
        <w:tc>
          <w:tcPr>
            <w:tcW w:w="536" w:type="dxa"/>
            <w:vMerge w:val="restart"/>
            <w:tcBorders>
              <w:tl2br w:val="nil"/>
              <w:tr2bl w:val="nil"/>
            </w:tcBorders>
            <w:vAlign w:val="center"/>
          </w:tcPr>
          <w:p w14:paraId="1EE9E29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7</w:t>
            </w:r>
          </w:p>
        </w:tc>
        <w:tc>
          <w:tcPr>
            <w:tcW w:w="1324" w:type="dxa"/>
            <w:vMerge w:val="restart"/>
            <w:tcBorders>
              <w:tl2br w:val="nil"/>
              <w:tr2bl w:val="nil"/>
            </w:tcBorders>
            <w:vAlign w:val="center"/>
          </w:tcPr>
          <w:p w14:paraId="2BD3C1A5">
            <w:pPr>
              <w:keepNext w:val="0"/>
              <w:keepLines w:val="0"/>
              <w:suppressLineNumbers w:val="0"/>
              <w:overflowPunct w:val="0"/>
              <w:autoSpaceDE w:val="0"/>
              <w:autoSpaceDN w:val="0"/>
              <w:spacing w:before="0" w:beforeAutospacing="0" w:after="0" w:afterAutospacing="0"/>
              <w:ind w:left="0" w:right="0"/>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Times New Roman" w:hAnsi="方正仿宋_GBK" w:eastAsia="方正仿宋_GBK"/>
                <w:szCs w:val="21"/>
                <w:lang w:val="en-US" w:eastAsia="zh-CN"/>
              </w:rPr>
              <w:t>对预拌混凝土供应单位的行政检查</w:t>
            </w:r>
          </w:p>
        </w:tc>
        <w:tc>
          <w:tcPr>
            <w:tcW w:w="794" w:type="dxa"/>
            <w:vMerge w:val="restart"/>
            <w:tcBorders>
              <w:tl2br w:val="nil"/>
              <w:tr2bl w:val="nil"/>
            </w:tcBorders>
            <w:vAlign w:val="center"/>
          </w:tcPr>
          <w:p w14:paraId="0FF65E80">
            <w:pPr>
              <w:keepNext w:val="0"/>
              <w:keepLines w:val="0"/>
              <w:suppressLineNumbers w:val="0"/>
              <w:overflowPunct w:val="0"/>
              <w:autoSpaceDE w:val="0"/>
              <w:autoSpaceDN w:val="0"/>
              <w:spacing w:before="0" w:beforeAutospacing="0" w:after="0" w:afterAutospacing="0"/>
              <w:ind w:left="0" w:right="0"/>
              <w:jc w:val="center"/>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方正仿宋_GB2312" w:hAnsi="方正仿宋_GB2312" w:eastAsia="方正仿宋_GB2312" w:cs="方正仿宋_GB2312"/>
                <w:b w:val="0"/>
                <w:bCs/>
                <w:kern w:val="0"/>
                <w:sz w:val="21"/>
                <w:szCs w:val="21"/>
                <w:lang w:val="en-US" w:eastAsia="zh-CN"/>
              </w:rPr>
              <w:t>吴中区住建局</w:t>
            </w:r>
          </w:p>
        </w:tc>
        <w:tc>
          <w:tcPr>
            <w:tcW w:w="872" w:type="dxa"/>
            <w:vMerge w:val="restart"/>
            <w:tcBorders>
              <w:tl2br w:val="nil"/>
              <w:tr2bl w:val="nil"/>
            </w:tcBorders>
            <w:vAlign w:val="center"/>
          </w:tcPr>
          <w:p w14:paraId="34EA8DCD">
            <w:pPr>
              <w:keepNext w:val="0"/>
              <w:keepLines w:val="0"/>
              <w:suppressLineNumbers w:val="0"/>
              <w:overflowPunct w:val="0"/>
              <w:autoSpaceDE w:val="0"/>
              <w:autoSpaceDN w:val="0"/>
              <w:spacing w:before="0" w:beforeAutospacing="0" w:after="0" w:afterAutospacing="0"/>
              <w:ind w:left="0" w:right="0"/>
              <w:jc w:val="center"/>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方正仿宋_GB2312" w:hAnsi="方正仿宋_GB2312" w:eastAsia="方正仿宋_GB2312" w:cs="方正仿宋_GB2312"/>
                <w:b w:val="0"/>
                <w:bCs/>
                <w:kern w:val="0"/>
                <w:sz w:val="21"/>
                <w:szCs w:val="21"/>
                <w:lang w:val="en-US" w:eastAsia="zh-CN"/>
              </w:rPr>
              <w:t>建管处</w:t>
            </w:r>
          </w:p>
        </w:tc>
        <w:tc>
          <w:tcPr>
            <w:tcW w:w="1010" w:type="dxa"/>
            <w:vMerge w:val="restart"/>
            <w:tcBorders>
              <w:tl2br w:val="nil"/>
              <w:tr2bl w:val="nil"/>
            </w:tcBorders>
            <w:vAlign w:val="center"/>
          </w:tcPr>
          <w:p w14:paraId="2CF53B5F">
            <w:pPr>
              <w:keepNext w:val="0"/>
              <w:keepLines w:val="0"/>
              <w:suppressLineNumbers w:val="0"/>
              <w:overflowPunct w:val="0"/>
              <w:autoSpaceDE w:val="0"/>
              <w:autoSpaceDN w:val="0"/>
              <w:spacing w:before="0" w:beforeAutospacing="0" w:after="0" w:afterAutospacing="0" w:line="320" w:lineRule="exact"/>
              <w:ind w:left="0" w:right="0"/>
              <w:jc w:val="center"/>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方正仿宋_GB2312" w:hAnsi="方正仿宋_GB2312" w:eastAsia="方正仿宋_GB2312" w:cs="方正仿宋_GB2312"/>
                <w:b w:val="0"/>
                <w:bCs/>
                <w:kern w:val="0"/>
                <w:sz w:val="21"/>
                <w:szCs w:val="21"/>
                <w:lang w:val="en-US" w:eastAsia="zh-CN"/>
              </w:rPr>
              <w:t>区内建设工程的预拌混凝土供应单位</w:t>
            </w:r>
          </w:p>
        </w:tc>
        <w:tc>
          <w:tcPr>
            <w:tcW w:w="4922" w:type="dxa"/>
            <w:vMerge w:val="restart"/>
            <w:tcBorders>
              <w:tl2br w:val="nil"/>
              <w:tr2bl w:val="nil"/>
            </w:tcBorders>
            <w:shd w:val="clear" w:color="auto" w:fill="auto"/>
            <w:vAlign w:val="center"/>
          </w:tcPr>
          <w:p w14:paraId="4D3E795E">
            <w:pPr>
              <w:keepNext w:val="0"/>
              <w:keepLines w:val="0"/>
              <w:suppressLineNumbers w:val="0"/>
              <w:spacing w:before="0" w:beforeAutospacing="0" w:after="0" w:afterAutospacing="0"/>
              <w:ind w:left="0" w:right="0"/>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Times New Roman" w:hAnsi="方正仿宋_GBK" w:eastAsia="方正仿宋_GBK"/>
                <w:szCs w:val="21"/>
                <w:lang w:val="en-US" w:eastAsia="zh-CN"/>
              </w:rPr>
              <w:t>【规章】《江苏省房屋建筑和市政基础设施工程质量监督管理办法》（省政府令第</w:t>
            </w:r>
            <w:r>
              <w:rPr>
                <w:rFonts w:hint="default" w:ascii="Times New Roman" w:hAnsi="方正仿宋_GBK" w:eastAsia="方正仿宋_GBK"/>
                <w:szCs w:val="21"/>
                <w:lang w:val="en-US" w:eastAsia="zh-CN"/>
              </w:rPr>
              <w:t>89</w:t>
            </w:r>
            <w:r>
              <w:rPr>
                <w:rFonts w:hint="eastAsia" w:ascii="Times New Roman" w:hAnsi="方正仿宋_GBK" w:eastAsia="方正仿宋_GBK"/>
                <w:szCs w:val="21"/>
                <w:lang w:val="en-US" w:eastAsia="zh-CN"/>
              </w:rPr>
              <w:t>号）</w:t>
            </w:r>
            <w:r>
              <w:rPr>
                <w:rFonts w:hint="default" w:ascii="Times New Roman" w:hAnsi="方正仿宋_GBK" w:eastAsia="方正仿宋_GBK"/>
                <w:szCs w:val="21"/>
                <w:lang w:val="en-US" w:eastAsia="zh-CN"/>
              </w:rPr>
              <w:br w:type="textWrapping"/>
            </w:r>
            <w:r>
              <w:rPr>
                <w:rFonts w:hint="default" w:ascii="Times New Roman" w:hAnsi="方正仿宋_GBK" w:eastAsia="方正仿宋_GBK"/>
                <w:szCs w:val="21"/>
                <w:lang w:val="en-US" w:eastAsia="zh-CN"/>
              </w:rPr>
              <w:t xml:space="preserve">    </w:t>
            </w:r>
            <w:r>
              <w:rPr>
                <w:rFonts w:hint="eastAsia" w:ascii="Times New Roman" w:hAnsi="方正仿宋_GBK" w:eastAsia="方正仿宋_GBK"/>
                <w:szCs w:val="21"/>
                <w:lang w:val="en-US" w:eastAsia="zh-CN"/>
              </w:rPr>
              <w:t>第二十二条</w:t>
            </w:r>
            <w:r>
              <w:rPr>
                <w:rFonts w:hint="default" w:ascii="Times New Roman" w:hAnsi="方正仿宋_GBK" w:eastAsia="方正仿宋_GBK"/>
                <w:szCs w:val="21"/>
                <w:lang w:val="en-US" w:eastAsia="zh-CN"/>
              </w:rPr>
              <w:t xml:space="preserve"> </w:t>
            </w:r>
            <w:r>
              <w:rPr>
                <w:rFonts w:hint="eastAsia" w:ascii="Times New Roman" w:hAnsi="方正仿宋_GBK" w:eastAsia="方正仿宋_GBK"/>
                <w:szCs w:val="21"/>
                <w:lang w:val="en-US" w:eastAsia="zh-CN"/>
              </w:rPr>
              <w:t>建筑材料、设备、构配件以及预拌混凝土、砂浆供应单位应当履行下列工程质量义务：</w:t>
            </w:r>
            <w:r>
              <w:rPr>
                <w:rFonts w:hint="default" w:ascii="Times New Roman" w:hAnsi="方正仿宋_GBK" w:eastAsia="方正仿宋_GBK"/>
                <w:szCs w:val="21"/>
                <w:lang w:val="en-US" w:eastAsia="zh-CN"/>
              </w:rPr>
              <w:br w:type="textWrapping"/>
            </w:r>
            <w:r>
              <w:rPr>
                <w:rFonts w:hint="default" w:ascii="Times New Roman" w:hAnsi="方正仿宋_GBK" w:eastAsia="方正仿宋_GBK"/>
                <w:szCs w:val="21"/>
                <w:lang w:val="en-US" w:eastAsia="zh-CN"/>
              </w:rPr>
              <w:t xml:space="preserve">   </w:t>
            </w:r>
            <w:r>
              <w:rPr>
                <w:rFonts w:hint="eastAsia" w:ascii="Times New Roman" w:hAnsi="方正仿宋_GBK" w:eastAsia="方正仿宋_GBK"/>
                <w:szCs w:val="21"/>
                <w:lang w:val="en-US" w:eastAsia="zh-CN"/>
              </w:rPr>
              <w:t>（三）供应的预拌混凝土、砂浆应当符合技术标准要求。</w:t>
            </w:r>
            <w:r>
              <w:rPr>
                <w:rFonts w:hint="default" w:ascii="Times New Roman" w:hAnsi="方正仿宋_GBK" w:eastAsia="方正仿宋_GBK"/>
                <w:szCs w:val="21"/>
                <w:lang w:val="en-US" w:eastAsia="zh-CN"/>
              </w:rPr>
              <w:br w:type="textWrapping"/>
            </w:r>
            <w:r>
              <w:rPr>
                <w:rFonts w:hint="default" w:ascii="Times New Roman" w:hAnsi="方正仿宋_GBK" w:eastAsia="方正仿宋_GBK"/>
                <w:szCs w:val="21"/>
                <w:lang w:val="en-US" w:eastAsia="zh-CN"/>
              </w:rPr>
              <w:t xml:space="preserve">    </w:t>
            </w:r>
            <w:r>
              <w:rPr>
                <w:rFonts w:hint="eastAsia" w:ascii="Times New Roman" w:hAnsi="方正仿宋_GBK" w:eastAsia="方正仿宋_GBK"/>
                <w:szCs w:val="21"/>
                <w:lang w:val="en-US" w:eastAsia="zh-CN"/>
              </w:rPr>
              <w:t>第二十八条</w:t>
            </w:r>
            <w:r>
              <w:rPr>
                <w:rFonts w:hint="default" w:ascii="Times New Roman" w:hAnsi="方正仿宋_GBK" w:eastAsia="方正仿宋_GBK"/>
                <w:szCs w:val="21"/>
                <w:lang w:val="en-US" w:eastAsia="zh-CN"/>
              </w:rPr>
              <w:t xml:space="preserve"> </w:t>
            </w:r>
            <w:r>
              <w:rPr>
                <w:rFonts w:hint="eastAsia" w:ascii="Times New Roman" w:hAnsi="方正仿宋_GBK" w:eastAsia="方正仿宋_GBK"/>
                <w:szCs w:val="21"/>
                <w:lang w:val="en-US" w:eastAsia="zh-CN"/>
              </w:rPr>
              <w:t>违反本办法第二十二条规定，建筑材料、设备、构配件以及预拌混凝土、砂浆供应单位有下列行为之一的，由住房和城乡建设行政主管部门责令改正，并可处</w:t>
            </w:r>
            <w:r>
              <w:rPr>
                <w:rFonts w:hint="default" w:ascii="Times New Roman" w:hAnsi="方正仿宋_GBK" w:eastAsia="方正仿宋_GBK"/>
                <w:szCs w:val="21"/>
                <w:lang w:val="en-US" w:eastAsia="zh-CN"/>
              </w:rPr>
              <w:t>1</w:t>
            </w:r>
            <w:r>
              <w:rPr>
                <w:rFonts w:hint="eastAsia" w:ascii="Times New Roman" w:hAnsi="方正仿宋_GBK" w:eastAsia="方正仿宋_GBK"/>
                <w:szCs w:val="21"/>
                <w:lang w:val="en-US" w:eastAsia="zh-CN"/>
              </w:rPr>
              <w:t>万元以上</w:t>
            </w:r>
            <w:r>
              <w:rPr>
                <w:rFonts w:hint="default" w:ascii="Times New Roman" w:hAnsi="方正仿宋_GBK" w:eastAsia="方正仿宋_GBK"/>
                <w:szCs w:val="21"/>
                <w:lang w:val="en-US" w:eastAsia="zh-CN"/>
              </w:rPr>
              <w:t>3</w:t>
            </w:r>
            <w:r>
              <w:rPr>
                <w:rFonts w:hint="eastAsia" w:ascii="Times New Roman" w:hAnsi="方正仿宋_GBK" w:eastAsia="方正仿宋_GBK"/>
                <w:szCs w:val="21"/>
                <w:lang w:val="en-US" w:eastAsia="zh-CN"/>
              </w:rPr>
              <w:t>万元以下罚款：</w:t>
            </w:r>
            <w:r>
              <w:rPr>
                <w:rFonts w:hint="default" w:ascii="Times New Roman" w:hAnsi="方正仿宋_GBK" w:eastAsia="方正仿宋_GBK"/>
                <w:szCs w:val="21"/>
                <w:lang w:val="en-US" w:eastAsia="zh-CN"/>
              </w:rPr>
              <w:br w:type="textWrapping"/>
            </w:r>
            <w:r>
              <w:rPr>
                <w:rFonts w:hint="default" w:ascii="Times New Roman" w:hAnsi="方正仿宋_GBK" w:eastAsia="方正仿宋_GBK"/>
                <w:szCs w:val="21"/>
                <w:lang w:val="en-US" w:eastAsia="zh-CN"/>
              </w:rPr>
              <w:t xml:space="preserve">   </w:t>
            </w:r>
            <w:r>
              <w:rPr>
                <w:rFonts w:hint="eastAsia" w:ascii="Times New Roman" w:hAnsi="方正仿宋_GBK" w:eastAsia="方正仿宋_GBK"/>
                <w:szCs w:val="21"/>
                <w:lang w:val="en-US" w:eastAsia="zh-CN"/>
              </w:rPr>
              <w:t>（三）供应的预拌混凝土、砂浆不符合技术标准要求的。</w:t>
            </w:r>
          </w:p>
        </w:tc>
        <w:tc>
          <w:tcPr>
            <w:tcW w:w="926" w:type="dxa"/>
            <w:vMerge w:val="restart"/>
            <w:tcBorders>
              <w:tl2br w:val="nil"/>
              <w:tr2bl w:val="nil"/>
            </w:tcBorders>
            <w:vAlign w:val="center"/>
          </w:tcPr>
          <w:p w14:paraId="4B192CB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现场检查、书面检查</w:t>
            </w:r>
          </w:p>
        </w:tc>
        <w:tc>
          <w:tcPr>
            <w:tcW w:w="1104" w:type="dxa"/>
            <w:vMerge w:val="restart"/>
            <w:tcBorders>
              <w:tl2br w:val="nil"/>
              <w:tr2bl w:val="nil"/>
            </w:tcBorders>
            <w:vAlign w:val="center"/>
          </w:tcPr>
          <w:p w14:paraId="684AC64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每季度一次</w:t>
            </w:r>
          </w:p>
        </w:tc>
        <w:tc>
          <w:tcPr>
            <w:tcW w:w="1296" w:type="dxa"/>
            <w:tcBorders>
              <w:tl2br w:val="nil"/>
              <w:tr2bl w:val="nil"/>
            </w:tcBorders>
            <w:vAlign w:val="center"/>
          </w:tcPr>
          <w:p w14:paraId="1DE40388">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default" w:ascii="Times New Roman" w:hAnsi="方正仿宋_GBK" w:eastAsia="方正仿宋_GBK"/>
                <w:szCs w:val="21"/>
                <w:lang w:val="en-US" w:eastAsia="zh-CN"/>
              </w:rPr>
              <w:t>320217564000</w:t>
            </w:r>
          </w:p>
        </w:tc>
        <w:tc>
          <w:tcPr>
            <w:tcW w:w="1282" w:type="dxa"/>
            <w:tcBorders>
              <w:tl2br w:val="nil"/>
              <w:tr2bl w:val="nil"/>
            </w:tcBorders>
            <w:shd w:val="clear" w:color="auto" w:fill="auto"/>
            <w:vAlign w:val="center"/>
          </w:tcPr>
          <w:p w14:paraId="3D3985D5">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Times New Roman" w:hAnsi="方正仿宋_GBK" w:eastAsia="方正仿宋_GBK"/>
                <w:szCs w:val="21"/>
                <w:lang w:val="en-US" w:eastAsia="zh-CN"/>
              </w:rPr>
              <w:t>对预拌混凝土、砂浆供应单位供应的预拌混凝土、砂浆不符合技术标准要求的处罚</w:t>
            </w:r>
          </w:p>
        </w:tc>
        <w:tc>
          <w:tcPr>
            <w:tcW w:w="1016" w:type="dxa"/>
            <w:vMerge w:val="restart"/>
            <w:tcBorders>
              <w:tl2br w:val="nil"/>
              <w:tr2bl w:val="nil"/>
            </w:tcBorders>
            <w:vAlign w:val="center"/>
          </w:tcPr>
          <w:p w14:paraId="5150A3A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r>
      <w:tr w14:paraId="642FB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trPr>
        <w:tc>
          <w:tcPr>
            <w:tcW w:w="536" w:type="dxa"/>
            <w:vMerge w:val="continue"/>
            <w:tcBorders>
              <w:tl2br w:val="nil"/>
              <w:tr2bl w:val="nil"/>
            </w:tcBorders>
            <w:vAlign w:val="center"/>
          </w:tcPr>
          <w:p w14:paraId="0E1727E9">
            <w:pPr>
              <w:keepNext w:val="0"/>
              <w:keepLines w:val="0"/>
              <w:suppressLineNumbers w:val="0"/>
              <w:spacing w:before="0" w:beforeAutospacing="0" w:after="0" w:afterAutospacing="0"/>
              <w:ind w:left="0" w:right="0"/>
              <w:jc w:val="left"/>
              <w:rPr>
                <w:rFonts w:hint="default"/>
              </w:rPr>
            </w:pPr>
          </w:p>
        </w:tc>
        <w:tc>
          <w:tcPr>
            <w:tcW w:w="1324" w:type="dxa"/>
            <w:vMerge w:val="continue"/>
            <w:tcBorders>
              <w:tl2br w:val="nil"/>
              <w:tr2bl w:val="nil"/>
            </w:tcBorders>
            <w:vAlign w:val="center"/>
          </w:tcPr>
          <w:p w14:paraId="71A3C983">
            <w:pPr>
              <w:keepNext w:val="0"/>
              <w:keepLines w:val="0"/>
              <w:suppressLineNumbers w:val="0"/>
              <w:spacing w:before="0" w:beforeAutospacing="0" w:after="0" w:afterAutospacing="0"/>
              <w:ind w:left="0" w:right="0"/>
              <w:jc w:val="left"/>
              <w:rPr>
                <w:rFonts w:hint="default"/>
              </w:rPr>
            </w:pPr>
          </w:p>
        </w:tc>
        <w:tc>
          <w:tcPr>
            <w:tcW w:w="794" w:type="dxa"/>
            <w:vMerge w:val="continue"/>
            <w:tcBorders>
              <w:tl2br w:val="nil"/>
              <w:tr2bl w:val="nil"/>
            </w:tcBorders>
            <w:vAlign w:val="center"/>
          </w:tcPr>
          <w:p w14:paraId="0C9A9BDF">
            <w:pPr>
              <w:keepNext w:val="0"/>
              <w:keepLines w:val="0"/>
              <w:suppressLineNumbers w:val="0"/>
              <w:spacing w:before="0" w:beforeAutospacing="0" w:after="0" w:afterAutospacing="0"/>
              <w:ind w:left="0" w:right="0"/>
              <w:jc w:val="left"/>
              <w:rPr>
                <w:rFonts w:hint="default"/>
              </w:rPr>
            </w:pPr>
          </w:p>
        </w:tc>
        <w:tc>
          <w:tcPr>
            <w:tcW w:w="872" w:type="dxa"/>
            <w:vMerge w:val="continue"/>
            <w:tcBorders>
              <w:tl2br w:val="nil"/>
              <w:tr2bl w:val="nil"/>
            </w:tcBorders>
            <w:vAlign w:val="center"/>
          </w:tcPr>
          <w:p w14:paraId="4BF11E7A">
            <w:pPr>
              <w:keepNext w:val="0"/>
              <w:keepLines w:val="0"/>
              <w:suppressLineNumbers w:val="0"/>
              <w:spacing w:before="0" w:beforeAutospacing="0" w:after="0" w:afterAutospacing="0"/>
              <w:ind w:left="0" w:right="0"/>
              <w:jc w:val="left"/>
              <w:rPr>
                <w:rFonts w:hint="default"/>
              </w:rPr>
            </w:pPr>
          </w:p>
        </w:tc>
        <w:tc>
          <w:tcPr>
            <w:tcW w:w="1010" w:type="dxa"/>
            <w:vMerge w:val="continue"/>
            <w:tcBorders>
              <w:tl2br w:val="nil"/>
              <w:tr2bl w:val="nil"/>
            </w:tcBorders>
            <w:vAlign w:val="center"/>
          </w:tcPr>
          <w:p w14:paraId="1C888334">
            <w:pPr>
              <w:keepNext w:val="0"/>
              <w:keepLines w:val="0"/>
              <w:suppressLineNumbers w:val="0"/>
              <w:spacing w:before="0" w:beforeAutospacing="0" w:after="0" w:afterAutospacing="0"/>
              <w:ind w:left="0" w:right="0"/>
              <w:jc w:val="left"/>
              <w:rPr>
                <w:rFonts w:hint="default"/>
              </w:rPr>
            </w:pPr>
          </w:p>
        </w:tc>
        <w:tc>
          <w:tcPr>
            <w:tcW w:w="4922" w:type="dxa"/>
            <w:vMerge w:val="continue"/>
            <w:tcBorders>
              <w:tl2br w:val="nil"/>
              <w:tr2bl w:val="nil"/>
            </w:tcBorders>
            <w:shd w:val="clear" w:color="auto" w:fill="auto"/>
            <w:vAlign w:val="center"/>
          </w:tcPr>
          <w:p w14:paraId="5DC59EF0">
            <w:pPr>
              <w:keepNext w:val="0"/>
              <w:keepLines w:val="0"/>
              <w:suppressLineNumbers w:val="0"/>
              <w:spacing w:before="0" w:beforeAutospacing="0" w:after="0" w:afterAutospacing="0"/>
              <w:ind w:left="0" w:right="0"/>
              <w:jc w:val="left"/>
              <w:rPr>
                <w:rFonts w:hint="default"/>
              </w:rPr>
            </w:pPr>
          </w:p>
        </w:tc>
        <w:tc>
          <w:tcPr>
            <w:tcW w:w="926" w:type="dxa"/>
            <w:vMerge w:val="continue"/>
            <w:tcBorders>
              <w:tl2br w:val="nil"/>
              <w:tr2bl w:val="nil"/>
            </w:tcBorders>
            <w:vAlign w:val="center"/>
          </w:tcPr>
          <w:p w14:paraId="50C5A804">
            <w:pPr>
              <w:keepNext w:val="0"/>
              <w:keepLines w:val="0"/>
              <w:suppressLineNumbers w:val="0"/>
              <w:spacing w:before="0" w:beforeAutospacing="0" w:after="0" w:afterAutospacing="0"/>
              <w:ind w:left="0" w:right="0"/>
              <w:jc w:val="left"/>
              <w:rPr>
                <w:rFonts w:hint="default"/>
              </w:rPr>
            </w:pPr>
          </w:p>
        </w:tc>
        <w:tc>
          <w:tcPr>
            <w:tcW w:w="1104" w:type="dxa"/>
            <w:vMerge w:val="continue"/>
            <w:tcBorders>
              <w:tl2br w:val="nil"/>
              <w:tr2bl w:val="nil"/>
            </w:tcBorders>
            <w:vAlign w:val="center"/>
          </w:tcPr>
          <w:p w14:paraId="0CA71D76">
            <w:pPr>
              <w:keepNext w:val="0"/>
              <w:keepLines w:val="0"/>
              <w:suppressLineNumbers w:val="0"/>
              <w:spacing w:before="0" w:beforeAutospacing="0" w:after="0" w:afterAutospacing="0"/>
              <w:ind w:left="0" w:right="0"/>
              <w:jc w:val="left"/>
              <w:rPr>
                <w:rFonts w:hint="default"/>
              </w:rPr>
            </w:pPr>
          </w:p>
        </w:tc>
        <w:tc>
          <w:tcPr>
            <w:tcW w:w="1296" w:type="dxa"/>
            <w:tcBorders>
              <w:tl2br w:val="nil"/>
              <w:tr2bl w:val="nil"/>
            </w:tcBorders>
            <w:vAlign w:val="center"/>
          </w:tcPr>
          <w:p w14:paraId="2BE51F97">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default" w:ascii="Times New Roman" w:hAnsi="方正仿宋_GBK" w:eastAsia="方正仿宋_GBK"/>
                <w:szCs w:val="21"/>
                <w:lang w:val="en-US" w:eastAsia="zh-CN"/>
              </w:rPr>
              <w:t>320217300000</w:t>
            </w:r>
          </w:p>
        </w:tc>
        <w:tc>
          <w:tcPr>
            <w:tcW w:w="1282" w:type="dxa"/>
            <w:tcBorders>
              <w:tl2br w:val="nil"/>
              <w:tr2bl w:val="nil"/>
            </w:tcBorders>
            <w:shd w:val="clear" w:color="auto" w:fill="auto"/>
            <w:vAlign w:val="center"/>
          </w:tcPr>
          <w:p w14:paraId="7E93B859">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Times New Roman" w:hAnsi="方正仿宋_GBK" w:eastAsia="方正仿宋_GBK"/>
                <w:szCs w:val="21"/>
                <w:lang w:val="en-US" w:eastAsia="zh-CN"/>
              </w:rPr>
              <w:t>对建筑材料、设备、构配件以及预拌混凝土、砂浆供应单位未及时提供真实的建筑材料、设备、构配件以及预拌混凝土、砂浆的质量合格证明文件和检测报告的处罚</w:t>
            </w:r>
          </w:p>
        </w:tc>
        <w:tc>
          <w:tcPr>
            <w:tcW w:w="1016" w:type="dxa"/>
            <w:vMerge w:val="continue"/>
            <w:tcBorders>
              <w:tl2br w:val="nil"/>
              <w:tr2bl w:val="nil"/>
            </w:tcBorders>
            <w:vAlign w:val="center"/>
          </w:tcPr>
          <w:p w14:paraId="45DDCB9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r>
      <w:tr w14:paraId="7EB08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vAlign w:val="center"/>
          </w:tcPr>
          <w:p w14:paraId="23C0038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8</w:t>
            </w:r>
          </w:p>
        </w:tc>
        <w:tc>
          <w:tcPr>
            <w:tcW w:w="1324" w:type="dxa"/>
            <w:tcBorders>
              <w:tl2br w:val="nil"/>
              <w:tr2bl w:val="nil"/>
            </w:tcBorders>
            <w:vAlign w:val="center"/>
          </w:tcPr>
          <w:p w14:paraId="7979490F">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对白蚁预防情况的检查</w:t>
            </w:r>
          </w:p>
          <w:p w14:paraId="6227BDA4">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794" w:type="dxa"/>
            <w:tcBorders>
              <w:tl2br w:val="nil"/>
              <w:tr2bl w:val="nil"/>
            </w:tcBorders>
            <w:vAlign w:val="center"/>
          </w:tcPr>
          <w:p w14:paraId="4816696D">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苏州市吴中区住建局</w:t>
            </w:r>
          </w:p>
        </w:tc>
        <w:tc>
          <w:tcPr>
            <w:tcW w:w="872" w:type="dxa"/>
            <w:tcBorders>
              <w:tl2br w:val="nil"/>
              <w:tr2bl w:val="nil"/>
            </w:tcBorders>
            <w:vAlign w:val="center"/>
          </w:tcPr>
          <w:p w14:paraId="24920973">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吴中区白蚁防治所</w:t>
            </w:r>
          </w:p>
        </w:tc>
        <w:tc>
          <w:tcPr>
            <w:tcW w:w="1010" w:type="dxa"/>
            <w:tcBorders>
              <w:tl2br w:val="nil"/>
              <w:tr2bl w:val="nil"/>
            </w:tcBorders>
            <w:vAlign w:val="center"/>
          </w:tcPr>
          <w:p w14:paraId="7EE756BD">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建设单位</w:t>
            </w:r>
          </w:p>
        </w:tc>
        <w:tc>
          <w:tcPr>
            <w:tcW w:w="4922" w:type="dxa"/>
            <w:tcBorders>
              <w:tl2br w:val="nil"/>
              <w:tr2bl w:val="nil"/>
            </w:tcBorders>
            <w:shd w:val="clear" w:color="auto" w:fill="auto"/>
            <w:vAlign w:val="center"/>
          </w:tcPr>
          <w:p w14:paraId="30FCC0ED">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【规章】《城市房屋白蚁防治管理规定》（建设部令第130号）</w:t>
            </w: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cr/>
            </w:r>
          </w:p>
          <w:p w14:paraId="5B431BF9">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 xml:space="preserve">    第十一条第二款  建设单位在办理房屋产权登记手续时，应当向房地产行政主管部门出具按照本规定实施房屋白蚁预防的证明文件。</w:t>
            </w: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cr/>
            </w:r>
          </w:p>
          <w:p w14:paraId="7771E7BA">
            <w:pPr>
              <w:keepNext w:val="0"/>
              <w:keepLines w:val="0"/>
              <w:suppressLineNumbers w:val="0"/>
              <w:spacing w:before="0" w:beforeAutospacing="0" w:after="0" w:afterAutospacing="0"/>
              <w:ind w:left="0" w:right="0" w:firstLine="210" w:firstLineChars="10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 xml:space="preserve"> 第十六条第二款  建设单位未按照本规定进行白蚁预防的，由房屋所在地的县级以上地方人民政府房地产行政主管部门责令限期改正，并处以1万元以上3万元以下的罚款。</w:t>
            </w:r>
          </w:p>
        </w:tc>
        <w:tc>
          <w:tcPr>
            <w:tcW w:w="926" w:type="dxa"/>
            <w:tcBorders>
              <w:tl2br w:val="nil"/>
              <w:tr2bl w:val="nil"/>
            </w:tcBorders>
            <w:vAlign w:val="center"/>
          </w:tcPr>
          <w:p w14:paraId="320E402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书面检查</w:t>
            </w:r>
          </w:p>
        </w:tc>
        <w:tc>
          <w:tcPr>
            <w:tcW w:w="1104" w:type="dxa"/>
            <w:tcBorders>
              <w:tl2br w:val="nil"/>
              <w:tr2bl w:val="nil"/>
            </w:tcBorders>
            <w:vAlign w:val="center"/>
          </w:tcPr>
          <w:p w14:paraId="77E6559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shd w:val="clear" w:color="auto" w:fill="FFFFFF"/>
                <w14:textFill>
                  <w14:solidFill>
                    <w14:schemeClr w14:val="tx1"/>
                  </w14:solidFill>
                </w14:textFill>
              </w:rPr>
              <w:t>1-12月</w:t>
            </w:r>
          </w:p>
        </w:tc>
        <w:tc>
          <w:tcPr>
            <w:tcW w:w="1296" w:type="dxa"/>
            <w:tcBorders>
              <w:tl2br w:val="nil"/>
              <w:tr2bl w:val="nil"/>
            </w:tcBorders>
            <w:vAlign w:val="center"/>
          </w:tcPr>
          <w:p w14:paraId="0357543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320217527000</w:t>
            </w:r>
          </w:p>
        </w:tc>
        <w:tc>
          <w:tcPr>
            <w:tcW w:w="1282" w:type="dxa"/>
            <w:tcBorders>
              <w:tl2br w:val="nil"/>
              <w:tr2bl w:val="nil"/>
            </w:tcBorders>
            <w:shd w:val="clear" w:color="auto" w:fill="auto"/>
            <w:vAlign w:val="center"/>
          </w:tcPr>
          <w:p w14:paraId="4F6B44B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对建设单位未按照规定进行白蚁预防的处罚</w:t>
            </w:r>
          </w:p>
        </w:tc>
        <w:tc>
          <w:tcPr>
            <w:tcW w:w="1016" w:type="dxa"/>
            <w:tcBorders>
              <w:tl2br w:val="nil"/>
              <w:tr2bl w:val="nil"/>
            </w:tcBorders>
            <w:vAlign w:val="center"/>
          </w:tcPr>
          <w:p w14:paraId="1EB2F24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r>
      <w:tr w14:paraId="56F5D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vAlign w:val="center"/>
          </w:tcPr>
          <w:p w14:paraId="399B090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9</w:t>
            </w:r>
          </w:p>
        </w:tc>
        <w:tc>
          <w:tcPr>
            <w:tcW w:w="1324" w:type="dxa"/>
            <w:tcBorders>
              <w:tl2br w:val="nil"/>
              <w:tr2bl w:val="nil"/>
            </w:tcBorders>
            <w:vAlign w:val="center"/>
          </w:tcPr>
          <w:p w14:paraId="2C53EBFF">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2"/>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对白蚁防治单位使用白蚁防治药物情况的检查</w:t>
            </w:r>
          </w:p>
        </w:tc>
        <w:tc>
          <w:tcPr>
            <w:tcW w:w="794" w:type="dxa"/>
            <w:tcBorders>
              <w:tl2br w:val="nil"/>
              <w:tr2bl w:val="nil"/>
            </w:tcBorders>
            <w:vAlign w:val="center"/>
          </w:tcPr>
          <w:p w14:paraId="611FAD16">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苏州市吴中区住建局</w:t>
            </w:r>
          </w:p>
        </w:tc>
        <w:tc>
          <w:tcPr>
            <w:tcW w:w="872" w:type="dxa"/>
            <w:tcBorders>
              <w:tl2br w:val="nil"/>
              <w:tr2bl w:val="nil"/>
            </w:tcBorders>
            <w:vAlign w:val="center"/>
          </w:tcPr>
          <w:p w14:paraId="02894E14">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吴中区白蚁防治所</w:t>
            </w:r>
          </w:p>
        </w:tc>
        <w:tc>
          <w:tcPr>
            <w:tcW w:w="1010" w:type="dxa"/>
            <w:tcBorders>
              <w:tl2br w:val="nil"/>
              <w:tr2bl w:val="nil"/>
            </w:tcBorders>
            <w:vAlign w:val="center"/>
          </w:tcPr>
          <w:p w14:paraId="44C552BC">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白蚁防治单位</w:t>
            </w:r>
          </w:p>
        </w:tc>
        <w:tc>
          <w:tcPr>
            <w:tcW w:w="4922" w:type="dxa"/>
            <w:tcBorders>
              <w:tl2br w:val="nil"/>
              <w:tr2bl w:val="nil"/>
            </w:tcBorders>
            <w:shd w:val="clear" w:color="auto" w:fill="auto"/>
            <w:vAlign w:val="center"/>
          </w:tcPr>
          <w:p w14:paraId="7ED8B92C">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【规章】《城市房屋白蚁防治管理规定》（建设部令第130号）</w:t>
            </w: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cr/>
            </w:r>
          </w:p>
          <w:p w14:paraId="425B5AC7">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 xml:space="preserve">   第十条　城市房屋白蚁防治应当使用经国家有关部门批准生产的药剂。白蚁防治单位应当建立药剂进出领料制度。药剂必须专仓储存、专人管理。</w:t>
            </w: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cr/>
            </w:r>
          </w:p>
          <w:p w14:paraId="0B3C4299">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 xml:space="preserve">   第十五条　白蚁防治单位违反本规定第十条的规定，使用不合格药物的，由房屋所在地的县级以上人民政府房地产行政主管部门责令限期改正，并处以3万元的罚款。</w:t>
            </w:r>
          </w:p>
        </w:tc>
        <w:tc>
          <w:tcPr>
            <w:tcW w:w="926" w:type="dxa"/>
            <w:tcBorders>
              <w:tl2br w:val="nil"/>
              <w:tr2bl w:val="nil"/>
            </w:tcBorders>
            <w:vAlign w:val="center"/>
          </w:tcPr>
          <w:p w14:paraId="191608C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现场检查、书面检查</w:t>
            </w:r>
          </w:p>
        </w:tc>
        <w:tc>
          <w:tcPr>
            <w:tcW w:w="1104" w:type="dxa"/>
            <w:tcBorders>
              <w:tl2br w:val="nil"/>
              <w:tr2bl w:val="nil"/>
            </w:tcBorders>
            <w:vAlign w:val="center"/>
          </w:tcPr>
          <w:p w14:paraId="1EAC70E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shd w:val="clear" w:color="auto" w:fill="FFFFFF"/>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shd w:val="clear" w:color="auto" w:fill="FFFFFF"/>
                <w14:textFill>
                  <w14:solidFill>
                    <w14:schemeClr w14:val="tx1"/>
                  </w14:solidFill>
                </w14:textFill>
              </w:rPr>
              <w:t>1-12月</w:t>
            </w:r>
          </w:p>
        </w:tc>
        <w:tc>
          <w:tcPr>
            <w:tcW w:w="1296" w:type="dxa"/>
            <w:tcBorders>
              <w:tl2br w:val="nil"/>
              <w:tr2bl w:val="nil"/>
            </w:tcBorders>
            <w:vAlign w:val="center"/>
          </w:tcPr>
          <w:p w14:paraId="321F03E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320217534000</w:t>
            </w:r>
          </w:p>
        </w:tc>
        <w:tc>
          <w:tcPr>
            <w:tcW w:w="1282" w:type="dxa"/>
            <w:tcBorders>
              <w:tl2br w:val="nil"/>
              <w:tr2bl w:val="nil"/>
            </w:tcBorders>
            <w:shd w:val="clear" w:color="auto" w:fill="auto"/>
            <w:vAlign w:val="center"/>
          </w:tcPr>
          <w:p w14:paraId="0E7088C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对白蚁防治单位使用不合格药物的处罚</w:t>
            </w:r>
          </w:p>
        </w:tc>
        <w:tc>
          <w:tcPr>
            <w:tcW w:w="1016" w:type="dxa"/>
            <w:tcBorders>
              <w:tl2br w:val="nil"/>
              <w:tr2bl w:val="nil"/>
            </w:tcBorders>
            <w:vAlign w:val="center"/>
          </w:tcPr>
          <w:p w14:paraId="4D98EA7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r>
      <w:tr w14:paraId="120C3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vAlign w:val="center"/>
          </w:tcPr>
          <w:p w14:paraId="43C4076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10</w:t>
            </w:r>
          </w:p>
        </w:tc>
        <w:tc>
          <w:tcPr>
            <w:tcW w:w="1324" w:type="dxa"/>
            <w:tcBorders>
              <w:tl2br w:val="nil"/>
              <w:tr2bl w:val="nil"/>
            </w:tcBorders>
            <w:vAlign w:val="center"/>
          </w:tcPr>
          <w:p w14:paraId="39EAB76E">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2"/>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对房地产开发企业在进行商品房销（预）售时是否按照要求出具该项目的白蚁预防合同或者其他实施房屋白蚁预防的证明文件的检查</w:t>
            </w:r>
          </w:p>
        </w:tc>
        <w:tc>
          <w:tcPr>
            <w:tcW w:w="794" w:type="dxa"/>
            <w:tcBorders>
              <w:tl2br w:val="nil"/>
              <w:tr2bl w:val="nil"/>
            </w:tcBorders>
            <w:vAlign w:val="center"/>
          </w:tcPr>
          <w:p w14:paraId="76E8B823">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苏州市吴中区住建局</w:t>
            </w:r>
          </w:p>
        </w:tc>
        <w:tc>
          <w:tcPr>
            <w:tcW w:w="872" w:type="dxa"/>
            <w:tcBorders>
              <w:tl2br w:val="nil"/>
              <w:tr2bl w:val="nil"/>
            </w:tcBorders>
            <w:vAlign w:val="center"/>
          </w:tcPr>
          <w:p w14:paraId="0856855E">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吴中区白蚁防治所</w:t>
            </w:r>
          </w:p>
        </w:tc>
        <w:tc>
          <w:tcPr>
            <w:tcW w:w="1010" w:type="dxa"/>
            <w:tcBorders>
              <w:tl2br w:val="nil"/>
              <w:tr2bl w:val="nil"/>
            </w:tcBorders>
            <w:vAlign w:val="center"/>
          </w:tcPr>
          <w:p w14:paraId="69CEBCA8">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房地产开发企业</w:t>
            </w:r>
          </w:p>
        </w:tc>
        <w:tc>
          <w:tcPr>
            <w:tcW w:w="4922" w:type="dxa"/>
            <w:tcBorders>
              <w:tl2br w:val="nil"/>
              <w:tr2bl w:val="nil"/>
            </w:tcBorders>
            <w:shd w:val="clear" w:color="auto" w:fill="auto"/>
            <w:vAlign w:val="center"/>
          </w:tcPr>
          <w:p w14:paraId="3B5FC4BE">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【规章】《城市房屋白蚁防治管理规定》（建设部令第130号）</w:t>
            </w: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cr/>
            </w:r>
          </w:p>
          <w:p w14:paraId="2D2EFABC">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 xml:space="preserve">    第十一条第一款  房地产开发企业在进行商品房销（预）售时，应当向购房人出具该项目的《白蚁预防合同》或者其他实施房屋白蚁预防的证明文件，提供的《住宅质量保证书》中必须包括白蚁预防质量保证的内容。</w:t>
            </w: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cr/>
            </w:r>
          </w:p>
          <w:p w14:paraId="555D2C99">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 xml:space="preserve">    第十六条第一款  房地产开发企业违反本规定第十一条第一款的规定，由房屋所在地的县级以上地方人民政府房地产行政主管部门责令限期改正，并处以2万元以上3万元以下的罚款。</w:t>
            </w:r>
          </w:p>
        </w:tc>
        <w:tc>
          <w:tcPr>
            <w:tcW w:w="926" w:type="dxa"/>
            <w:tcBorders>
              <w:tl2br w:val="nil"/>
              <w:tr2bl w:val="nil"/>
            </w:tcBorders>
            <w:vAlign w:val="center"/>
          </w:tcPr>
          <w:p w14:paraId="4245E015">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书面检查</w:t>
            </w:r>
          </w:p>
        </w:tc>
        <w:tc>
          <w:tcPr>
            <w:tcW w:w="1104" w:type="dxa"/>
            <w:tcBorders>
              <w:tl2br w:val="nil"/>
              <w:tr2bl w:val="nil"/>
            </w:tcBorders>
            <w:vAlign w:val="center"/>
          </w:tcPr>
          <w:p w14:paraId="68193E5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shd w:val="clear" w:color="auto" w:fill="FFFFFF"/>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shd w:val="clear" w:color="auto" w:fill="FFFFFF"/>
                <w14:textFill>
                  <w14:solidFill>
                    <w14:schemeClr w14:val="tx1"/>
                  </w14:solidFill>
                </w14:textFill>
              </w:rPr>
              <w:t>1-12月</w:t>
            </w:r>
          </w:p>
        </w:tc>
        <w:tc>
          <w:tcPr>
            <w:tcW w:w="1296" w:type="dxa"/>
            <w:tcBorders>
              <w:tl2br w:val="nil"/>
              <w:tr2bl w:val="nil"/>
            </w:tcBorders>
            <w:vAlign w:val="center"/>
          </w:tcPr>
          <w:p w14:paraId="2E1DC2A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320217524000</w:t>
            </w:r>
          </w:p>
        </w:tc>
        <w:tc>
          <w:tcPr>
            <w:tcW w:w="1282" w:type="dxa"/>
            <w:tcBorders>
              <w:tl2br w:val="nil"/>
              <w:tr2bl w:val="nil"/>
            </w:tcBorders>
            <w:shd w:val="clear" w:color="auto" w:fill="auto"/>
            <w:vAlign w:val="center"/>
          </w:tcPr>
          <w:p w14:paraId="3D3D5A3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对房地产开发企业在进行商品房销（预）售时未按照要求出具该项目的白蚁预防合同或者其他实施房屋白蚁预防的证明文件的处罚</w:t>
            </w:r>
          </w:p>
        </w:tc>
        <w:tc>
          <w:tcPr>
            <w:tcW w:w="1016" w:type="dxa"/>
            <w:tcBorders>
              <w:tl2br w:val="nil"/>
              <w:tr2bl w:val="nil"/>
            </w:tcBorders>
            <w:vAlign w:val="center"/>
          </w:tcPr>
          <w:p w14:paraId="772F52E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r>
      <w:tr w14:paraId="2CE20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vAlign w:val="center"/>
          </w:tcPr>
          <w:p w14:paraId="637BB26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11</w:t>
            </w:r>
          </w:p>
        </w:tc>
        <w:tc>
          <w:tcPr>
            <w:tcW w:w="1324" w:type="dxa"/>
            <w:tcBorders>
              <w:tl2br w:val="nil"/>
              <w:tr2bl w:val="nil"/>
            </w:tcBorders>
            <w:vAlign w:val="center"/>
          </w:tcPr>
          <w:p w14:paraId="03E77BD1">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2"/>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对白蚁防治单位是否建立健全白蚁防治质量保证体系，严格按照国家和地方有关城市房屋白蚁防治的施工技术规范和操作程序进行防治的检查</w:t>
            </w:r>
          </w:p>
        </w:tc>
        <w:tc>
          <w:tcPr>
            <w:tcW w:w="794" w:type="dxa"/>
            <w:tcBorders>
              <w:tl2br w:val="nil"/>
              <w:tr2bl w:val="nil"/>
            </w:tcBorders>
            <w:vAlign w:val="center"/>
          </w:tcPr>
          <w:p w14:paraId="35CFBCAE">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苏州市吴中区住建局</w:t>
            </w:r>
          </w:p>
        </w:tc>
        <w:tc>
          <w:tcPr>
            <w:tcW w:w="872" w:type="dxa"/>
            <w:tcBorders>
              <w:tl2br w:val="nil"/>
              <w:tr2bl w:val="nil"/>
            </w:tcBorders>
            <w:vAlign w:val="center"/>
          </w:tcPr>
          <w:p w14:paraId="36934AF8">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吴中区白蚁防治所</w:t>
            </w:r>
          </w:p>
        </w:tc>
        <w:tc>
          <w:tcPr>
            <w:tcW w:w="1010" w:type="dxa"/>
            <w:tcBorders>
              <w:tl2br w:val="nil"/>
              <w:tr2bl w:val="nil"/>
            </w:tcBorders>
            <w:vAlign w:val="center"/>
          </w:tcPr>
          <w:p w14:paraId="420F7239">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白蚁防治单位</w:t>
            </w:r>
          </w:p>
        </w:tc>
        <w:tc>
          <w:tcPr>
            <w:tcW w:w="4922" w:type="dxa"/>
            <w:tcBorders>
              <w:tl2br w:val="nil"/>
              <w:tr2bl w:val="nil"/>
            </w:tcBorders>
            <w:shd w:val="clear" w:color="auto" w:fill="auto"/>
            <w:vAlign w:val="center"/>
          </w:tcPr>
          <w:p w14:paraId="141B74E0">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【规章】《城市房屋白蚁防治管理规定》（建设部令第130号）</w:t>
            </w: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cr/>
            </w:r>
          </w:p>
          <w:p w14:paraId="0DC25B9F">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 xml:space="preserve">    第九条　白蚁防治单位应当建立健全白蚁防治质量保证体系，严格按照国家和地方有关城市房屋白蚁防治的施工技术规范和操作程序进行防治。</w:t>
            </w: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cr/>
            </w:r>
          </w:p>
          <w:p w14:paraId="1FADE77E">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 xml:space="preserve">    第十四条　白蚁防治单位违反本规定第九条规定的，由房屋所在地的县级以上人民政府房地产行政主管部门责令限期改正，并处以1万元以上3万元以下的罚款。</w:t>
            </w:r>
          </w:p>
        </w:tc>
        <w:tc>
          <w:tcPr>
            <w:tcW w:w="926" w:type="dxa"/>
            <w:tcBorders>
              <w:tl2br w:val="nil"/>
              <w:tr2bl w:val="nil"/>
            </w:tcBorders>
            <w:vAlign w:val="center"/>
          </w:tcPr>
          <w:p w14:paraId="62B56A2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现场检查、书面检查</w:t>
            </w:r>
          </w:p>
        </w:tc>
        <w:tc>
          <w:tcPr>
            <w:tcW w:w="1104" w:type="dxa"/>
            <w:tcBorders>
              <w:tl2br w:val="nil"/>
              <w:tr2bl w:val="nil"/>
            </w:tcBorders>
            <w:vAlign w:val="center"/>
          </w:tcPr>
          <w:p w14:paraId="79D3C0E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shd w:val="clear" w:color="auto" w:fill="FFFFFF"/>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shd w:val="clear" w:color="auto" w:fill="FFFFFF"/>
                <w14:textFill>
                  <w14:solidFill>
                    <w14:schemeClr w14:val="tx1"/>
                  </w14:solidFill>
                </w14:textFill>
              </w:rPr>
              <w:t>1-12月</w:t>
            </w:r>
          </w:p>
        </w:tc>
        <w:tc>
          <w:tcPr>
            <w:tcW w:w="1296" w:type="dxa"/>
            <w:tcBorders>
              <w:tl2br w:val="nil"/>
              <w:tr2bl w:val="nil"/>
            </w:tcBorders>
            <w:vAlign w:val="center"/>
          </w:tcPr>
          <w:p w14:paraId="766A890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320217517000</w:t>
            </w:r>
          </w:p>
        </w:tc>
        <w:tc>
          <w:tcPr>
            <w:tcW w:w="1282" w:type="dxa"/>
            <w:tcBorders>
              <w:tl2br w:val="nil"/>
              <w:tr2bl w:val="nil"/>
            </w:tcBorders>
            <w:shd w:val="clear" w:color="auto" w:fill="auto"/>
            <w:vAlign w:val="center"/>
          </w:tcPr>
          <w:p w14:paraId="17D5CAA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对白蚁防治单位未建立健全白蚁防治质量保证体系，按照国家和地方有关城市房屋白蚁防治的施工技术规范和操作程序进行防治的处罚</w:t>
            </w:r>
          </w:p>
        </w:tc>
        <w:tc>
          <w:tcPr>
            <w:tcW w:w="1016" w:type="dxa"/>
            <w:tcBorders>
              <w:tl2br w:val="nil"/>
              <w:tr2bl w:val="nil"/>
            </w:tcBorders>
            <w:vAlign w:val="center"/>
          </w:tcPr>
          <w:p w14:paraId="6129477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r>
      <w:tr w14:paraId="2CA66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vAlign w:val="center"/>
          </w:tcPr>
          <w:p w14:paraId="298767A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12</w:t>
            </w:r>
          </w:p>
        </w:tc>
        <w:tc>
          <w:tcPr>
            <w:tcW w:w="1324" w:type="dxa"/>
            <w:tcBorders>
              <w:tl2br w:val="nil"/>
              <w:tr2bl w:val="nil"/>
            </w:tcBorders>
            <w:vAlign w:val="center"/>
          </w:tcPr>
          <w:p w14:paraId="56D08826">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2"/>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对白蚁灭治情况的检查</w:t>
            </w:r>
          </w:p>
        </w:tc>
        <w:tc>
          <w:tcPr>
            <w:tcW w:w="794" w:type="dxa"/>
            <w:tcBorders>
              <w:tl2br w:val="nil"/>
              <w:tr2bl w:val="nil"/>
            </w:tcBorders>
            <w:vAlign w:val="center"/>
          </w:tcPr>
          <w:p w14:paraId="2C0526D1">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苏州市吴中区住建局</w:t>
            </w:r>
          </w:p>
        </w:tc>
        <w:tc>
          <w:tcPr>
            <w:tcW w:w="872" w:type="dxa"/>
            <w:tcBorders>
              <w:tl2br w:val="nil"/>
              <w:tr2bl w:val="nil"/>
            </w:tcBorders>
            <w:vAlign w:val="center"/>
          </w:tcPr>
          <w:p w14:paraId="3D050CE3">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吴中区白蚁防治所</w:t>
            </w:r>
          </w:p>
        </w:tc>
        <w:tc>
          <w:tcPr>
            <w:tcW w:w="1010" w:type="dxa"/>
            <w:tcBorders>
              <w:tl2br w:val="nil"/>
              <w:tr2bl w:val="nil"/>
            </w:tcBorders>
            <w:vAlign w:val="center"/>
          </w:tcPr>
          <w:p w14:paraId="122B6A26">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房屋所有人、使用人和房屋管理单位</w:t>
            </w:r>
          </w:p>
        </w:tc>
        <w:tc>
          <w:tcPr>
            <w:tcW w:w="4922" w:type="dxa"/>
            <w:tcBorders>
              <w:tl2br w:val="nil"/>
              <w:tr2bl w:val="nil"/>
            </w:tcBorders>
            <w:shd w:val="clear" w:color="auto" w:fill="auto"/>
            <w:vAlign w:val="center"/>
          </w:tcPr>
          <w:p w14:paraId="72AAE430">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【规章】《城市房屋白蚁防治管理规定》（建设部令第130号）</w:t>
            </w:r>
          </w:p>
          <w:p w14:paraId="09C2886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p w14:paraId="3401FBE1">
            <w:pPr>
              <w:keepNext w:val="0"/>
              <w:keepLines w:val="0"/>
              <w:widowControl/>
              <w:suppressLineNumbers w:val="0"/>
              <w:autoSpaceDE w:val="0"/>
              <w:autoSpaceDN w:val="0"/>
              <w:spacing w:before="0" w:beforeAutospacing="0" w:after="0" w:afterAutospacing="0" w:line="240" w:lineRule="exact"/>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 xml:space="preserve">第十二条　原有房屋和超过白蚁预防包治期限的房屋发生蚁害的，房屋所有人、使用人或者房屋管理单位应当委托白蚁防治单位进行灭治。 </w:t>
            </w:r>
          </w:p>
          <w:p w14:paraId="4396769C">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房屋所有人、使用人以及房屋管理单位应当配合白蚁防治单位进行白蚁的检查和灭治工作。</w:t>
            </w:r>
          </w:p>
          <w:p w14:paraId="3491D10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p w14:paraId="36F6BCD7">
            <w:pPr>
              <w:keepNext w:val="0"/>
              <w:keepLines w:val="0"/>
              <w:widowControl/>
              <w:suppressLineNumbers w:val="0"/>
              <w:autoSpaceDE w:val="0"/>
              <w:autoSpaceDN w:val="0"/>
              <w:spacing w:before="0" w:beforeAutospacing="0" w:after="0" w:afterAutospacing="0" w:line="240" w:lineRule="exact"/>
              <w:ind w:left="0" w:right="0" w:firstLine="420" w:firstLineChars="20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第十七条　房屋所有人、使用人或者房屋管理单位违反本规定第十二条规定的，房屋所在地的县级以上地方人民政府房地产行政主管部门，可以对责任人处以1000元的罚款。</w:t>
            </w:r>
          </w:p>
        </w:tc>
        <w:tc>
          <w:tcPr>
            <w:tcW w:w="926" w:type="dxa"/>
            <w:tcBorders>
              <w:tl2br w:val="nil"/>
              <w:tr2bl w:val="nil"/>
            </w:tcBorders>
            <w:vAlign w:val="center"/>
          </w:tcPr>
          <w:p w14:paraId="1A27FB9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现场检查</w:t>
            </w:r>
          </w:p>
        </w:tc>
        <w:tc>
          <w:tcPr>
            <w:tcW w:w="1104" w:type="dxa"/>
            <w:tcBorders>
              <w:tl2br w:val="nil"/>
              <w:tr2bl w:val="nil"/>
            </w:tcBorders>
            <w:vAlign w:val="center"/>
          </w:tcPr>
          <w:p w14:paraId="33C60A5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shd w:val="clear" w:color="auto" w:fill="FFFFFF"/>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shd w:val="clear" w:color="auto" w:fill="FFFFFF"/>
                <w14:textFill>
                  <w14:solidFill>
                    <w14:schemeClr w14:val="tx1"/>
                  </w14:solidFill>
                </w14:textFill>
              </w:rPr>
              <w:t>1-12月</w:t>
            </w:r>
          </w:p>
        </w:tc>
        <w:tc>
          <w:tcPr>
            <w:tcW w:w="1296" w:type="dxa"/>
            <w:tcBorders>
              <w:tl2br w:val="nil"/>
              <w:tr2bl w:val="nil"/>
            </w:tcBorders>
            <w:vAlign w:val="center"/>
          </w:tcPr>
          <w:p w14:paraId="2AEC738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未知</w:t>
            </w:r>
          </w:p>
        </w:tc>
        <w:tc>
          <w:tcPr>
            <w:tcW w:w="1282" w:type="dxa"/>
            <w:tcBorders>
              <w:tl2br w:val="nil"/>
              <w:tr2bl w:val="nil"/>
            </w:tcBorders>
            <w:shd w:val="clear" w:color="auto" w:fill="auto"/>
            <w:vAlign w:val="center"/>
          </w:tcPr>
          <w:p w14:paraId="3E36B54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对房屋所有人、使用人或者房屋管理单位未按照规定委托白蚁防治单位进行灭治或者配合白蚁防治单位进行白蚁的检查和灭治的处罚</w:t>
            </w:r>
          </w:p>
        </w:tc>
        <w:tc>
          <w:tcPr>
            <w:tcW w:w="1016" w:type="dxa"/>
            <w:tcBorders>
              <w:tl2br w:val="nil"/>
              <w:tr2bl w:val="nil"/>
            </w:tcBorders>
            <w:vAlign w:val="center"/>
          </w:tcPr>
          <w:p w14:paraId="3C837CA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r>
      <w:tr w14:paraId="13E2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vAlign w:val="center"/>
          </w:tcPr>
          <w:p w14:paraId="27B6B4C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13</w:t>
            </w:r>
          </w:p>
        </w:tc>
        <w:tc>
          <w:tcPr>
            <w:tcW w:w="1324" w:type="dxa"/>
            <w:tcBorders>
              <w:tl2br w:val="nil"/>
              <w:tr2bl w:val="nil"/>
            </w:tcBorders>
            <w:vAlign w:val="center"/>
          </w:tcPr>
          <w:p w14:paraId="5CD40697">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2"/>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对白蚁防治单位是否具备规定条件从事白蚁防治业务的检查</w:t>
            </w:r>
          </w:p>
        </w:tc>
        <w:tc>
          <w:tcPr>
            <w:tcW w:w="794" w:type="dxa"/>
            <w:tcBorders>
              <w:tl2br w:val="nil"/>
              <w:tr2bl w:val="nil"/>
            </w:tcBorders>
            <w:vAlign w:val="center"/>
          </w:tcPr>
          <w:p w14:paraId="49842A68">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苏州市吴中区住建局</w:t>
            </w:r>
          </w:p>
        </w:tc>
        <w:tc>
          <w:tcPr>
            <w:tcW w:w="872" w:type="dxa"/>
            <w:tcBorders>
              <w:tl2br w:val="nil"/>
              <w:tr2bl w:val="nil"/>
            </w:tcBorders>
            <w:vAlign w:val="center"/>
          </w:tcPr>
          <w:p w14:paraId="529D3B70">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吴中区白蚁防治所</w:t>
            </w:r>
          </w:p>
        </w:tc>
        <w:tc>
          <w:tcPr>
            <w:tcW w:w="1010" w:type="dxa"/>
            <w:tcBorders>
              <w:tl2br w:val="nil"/>
              <w:tr2bl w:val="nil"/>
            </w:tcBorders>
            <w:vAlign w:val="center"/>
          </w:tcPr>
          <w:p w14:paraId="54E67AC3">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白蚁防治单位</w:t>
            </w:r>
          </w:p>
        </w:tc>
        <w:tc>
          <w:tcPr>
            <w:tcW w:w="4922" w:type="dxa"/>
            <w:tcBorders>
              <w:tl2br w:val="nil"/>
              <w:tr2bl w:val="nil"/>
            </w:tcBorders>
            <w:shd w:val="clear" w:color="auto" w:fill="auto"/>
            <w:vAlign w:val="center"/>
          </w:tcPr>
          <w:p w14:paraId="5435297D">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【规章】《城市房屋白蚁防治管理规定》（建设部令第130号）</w:t>
            </w:r>
          </w:p>
          <w:p w14:paraId="5B75F09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p w14:paraId="196AF970">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 xml:space="preserve">    第六条 设立白蚁防治单位，应当具备以下条件： </w:t>
            </w:r>
          </w:p>
          <w:p w14:paraId="2B35D53A">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 xml:space="preserve">   （一）有自己的名称和组织机构； </w:t>
            </w:r>
          </w:p>
          <w:p w14:paraId="011D70D6">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 xml:space="preserve">   （二）有固定的办公地点及场所； </w:t>
            </w:r>
          </w:p>
          <w:p w14:paraId="3DEE663B">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 xml:space="preserve">   （三）有生物、药物检测和建筑工程等专业的专职技术人员。</w:t>
            </w:r>
          </w:p>
          <w:p w14:paraId="087F1EC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p w14:paraId="6EB6EADB">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 xml:space="preserve">    第十三条　违反本规定第六条的规定，从事白蚁防治业务的，由房屋所在地的县级以上地方人民政府房地产行政主管部门责令改正，并可处以1万元以上3万元以下的罚款。</w:t>
            </w:r>
          </w:p>
        </w:tc>
        <w:tc>
          <w:tcPr>
            <w:tcW w:w="926" w:type="dxa"/>
            <w:tcBorders>
              <w:tl2br w:val="nil"/>
              <w:tr2bl w:val="nil"/>
            </w:tcBorders>
            <w:vAlign w:val="center"/>
          </w:tcPr>
          <w:p w14:paraId="76EAB5D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现场检查</w:t>
            </w:r>
          </w:p>
        </w:tc>
        <w:tc>
          <w:tcPr>
            <w:tcW w:w="1104" w:type="dxa"/>
            <w:tcBorders>
              <w:tl2br w:val="nil"/>
              <w:tr2bl w:val="nil"/>
            </w:tcBorders>
            <w:vAlign w:val="center"/>
          </w:tcPr>
          <w:p w14:paraId="7E98ACD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shd w:val="clear" w:color="auto" w:fill="FFFFFF"/>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shd w:val="clear" w:color="auto" w:fill="FFFFFF"/>
                <w14:textFill>
                  <w14:solidFill>
                    <w14:schemeClr w14:val="tx1"/>
                  </w14:solidFill>
                </w14:textFill>
              </w:rPr>
              <w:t>1-12月</w:t>
            </w:r>
          </w:p>
        </w:tc>
        <w:tc>
          <w:tcPr>
            <w:tcW w:w="1296" w:type="dxa"/>
            <w:tcBorders>
              <w:tl2br w:val="nil"/>
              <w:tr2bl w:val="nil"/>
            </w:tcBorders>
            <w:vAlign w:val="center"/>
          </w:tcPr>
          <w:p w14:paraId="166A7A4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未知</w:t>
            </w:r>
          </w:p>
        </w:tc>
        <w:tc>
          <w:tcPr>
            <w:tcW w:w="1282" w:type="dxa"/>
            <w:tcBorders>
              <w:tl2br w:val="nil"/>
              <w:tr2bl w:val="nil"/>
            </w:tcBorders>
            <w:shd w:val="clear" w:color="auto" w:fill="auto"/>
            <w:vAlign w:val="center"/>
          </w:tcPr>
          <w:p w14:paraId="63D8831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对不具备规定条件从事白蚁防治业务的处罚</w:t>
            </w:r>
          </w:p>
        </w:tc>
        <w:tc>
          <w:tcPr>
            <w:tcW w:w="1016" w:type="dxa"/>
            <w:tcBorders>
              <w:tl2br w:val="nil"/>
              <w:tr2bl w:val="nil"/>
            </w:tcBorders>
            <w:vAlign w:val="center"/>
          </w:tcPr>
          <w:p w14:paraId="0B8970E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r>
      <w:tr w14:paraId="2C11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vAlign w:val="center"/>
          </w:tcPr>
          <w:p w14:paraId="485CFE6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14</w:t>
            </w:r>
          </w:p>
        </w:tc>
        <w:tc>
          <w:tcPr>
            <w:tcW w:w="1324" w:type="dxa"/>
            <w:tcBorders>
              <w:tl2br w:val="nil"/>
              <w:tr2bl w:val="nil"/>
            </w:tcBorders>
            <w:vAlign w:val="center"/>
          </w:tcPr>
          <w:p w14:paraId="3866723B">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对房屋安全鉴定机构开展房屋安全鉴定情况的行政检查</w:t>
            </w:r>
          </w:p>
        </w:tc>
        <w:tc>
          <w:tcPr>
            <w:tcW w:w="794" w:type="dxa"/>
            <w:tcBorders>
              <w:tl2br w:val="nil"/>
              <w:tr2bl w:val="nil"/>
            </w:tcBorders>
            <w:vAlign w:val="center"/>
          </w:tcPr>
          <w:p w14:paraId="5579784A">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苏州市吴中区住建局</w:t>
            </w:r>
          </w:p>
        </w:tc>
        <w:tc>
          <w:tcPr>
            <w:tcW w:w="872" w:type="dxa"/>
            <w:tcBorders>
              <w:tl2br w:val="nil"/>
              <w:tr2bl w:val="nil"/>
            </w:tcBorders>
            <w:vAlign w:val="center"/>
          </w:tcPr>
          <w:p w14:paraId="7B9C4B51">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吴中区房屋安全鉴定所</w:t>
            </w:r>
          </w:p>
        </w:tc>
        <w:tc>
          <w:tcPr>
            <w:tcW w:w="1010" w:type="dxa"/>
            <w:tcBorders>
              <w:tl2br w:val="nil"/>
              <w:tr2bl w:val="nil"/>
            </w:tcBorders>
            <w:vAlign w:val="center"/>
          </w:tcPr>
          <w:p w14:paraId="16B9CEC5">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苏州市房屋安全鉴定机构名单内的鉴定机构</w:t>
            </w:r>
          </w:p>
        </w:tc>
        <w:tc>
          <w:tcPr>
            <w:tcW w:w="4922" w:type="dxa"/>
            <w:tcBorders>
              <w:tl2br w:val="nil"/>
              <w:tr2bl w:val="nil"/>
            </w:tcBorders>
            <w:shd w:val="clear" w:color="auto" w:fill="auto"/>
            <w:vAlign w:val="center"/>
          </w:tcPr>
          <w:p w14:paraId="053C5E0F">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【法规】《苏州市房屋使用安全管理条例》（2018年修订）</w:t>
            </w:r>
          </w:p>
          <w:p w14:paraId="6053A17C">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第二十八条  房屋安全鉴定，由依法设立的房屋安全鉴定机构负责。市、县级市（区）住房城乡建设部门应当根据国家和省有关规定，通过建立健全房屋安全鉴定机构诚信体系建设、完善行业准入和退出机制等方式，加强房屋安全鉴定机构的管理，推进房屋安全鉴定工作市场化。</w:t>
            </w:r>
          </w:p>
        </w:tc>
        <w:tc>
          <w:tcPr>
            <w:tcW w:w="926" w:type="dxa"/>
            <w:tcBorders>
              <w:tl2br w:val="nil"/>
              <w:tr2bl w:val="nil"/>
            </w:tcBorders>
            <w:vAlign w:val="center"/>
          </w:tcPr>
          <w:p w14:paraId="44453B0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线上检查、现场检查</w:t>
            </w:r>
          </w:p>
        </w:tc>
        <w:tc>
          <w:tcPr>
            <w:tcW w:w="1104" w:type="dxa"/>
            <w:tcBorders>
              <w:tl2br w:val="nil"/>
              <w:tr2bl w:val="nil"/>
            </w:tcBorders>
            <w:vAlign w:val="center"/>
          </w:tcPr>
          <w:p w14:paraId="4029C60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12次/年</w:t>
            </w:r>
          </w:p>
        </w:tc>
        <w:tc>
          <w:tcPr>
            <w:tcW w:w="1296" w:type="dxa"/>
            <w:tcBorders>
              <w:tl2br w:val="nil"/>
              <w:tr2bl w:val="nil"/>
            </w:tcBorders>
            <w:vAlign w:val="center"/>
          </w:tcPr>
          <w:p w14:paraId="4F306AA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sz w:val="21"/>
                <w:szCs w:val="21"/>
                <w14:textFill>
                  <w14:solidFill>
                    <w14:schemeClr w14:val="tx1"/>
                  </w14:solidFill>
                </w14:textFill>
              </w:rPr>
              <w:t>无</w:t>
            </w:r>
          </w:p>
        </w:tc>
        <w:tc>
          <w:tcPr>
            <w:tcW w:w="1282" w:type="dxa"/>
            <w:tcBorders>
              <w:tl2br w:val="nil"/>
              <w:tr2bl w:val="nil"/>
            </w:tcBorders>
            <w:shd w:val="clear" w:color="auto" w:fill="auto"/>
            <w:vAlign w:val="center"/>
          </w:tcPr>
          <w:p w14:paraId="764333F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pPr>
          </w:p>
        </w:tc>
        <w:tc>
          <w:tcPr>
            <w:tcW w:w="1016" w:type="dxa"/>
            <w:tcBorders>
              <w:tl2br w:val="nil"/>
              <w:tr2bl w:val="nil"/>
            </w:tcBorders>
            <w:vAlign w:val="center"/>
          </w:tcPr>
          <w:p w14:paraId="112E4C4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37DD7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vAlign w:val="center"/>
          </w:tcPr>
          <w:p w14:paraId="0F80B9FE">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lang w:val="en-US"/>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15</w:t>
            </w:r>
          </w:p>
        </w:tc>
        <w:tc>
          <w:tcPr>
            <w:tcW w:w="1324" w:type="dxa"/>
            <w:tcBorders>
              <w:tl2br w:val="nil"/>
              <w:tr2bl w:val="nil"/>
            </w:tcBorders>
            <w:vAlign w:val="center"/>
          </w:tcPr>
          <w:p w14:paraId="7646BEB9">
            <w:pPr>
              <w:keepNext w:val="0"/>
              <w:keepLines w:val="0"/>
              <w:widowControl w:val="0"/>
              <w:suppressLineNumbers w:val="0"/>
              <w:overflowPunct w:val="0"/>
              <w:autoSpaceDE w:val="0"/>
              <w:autoSpaceDN w:val="0"/>
              <w:spacing w:before="0" w:beforeAutospacing="0" w:after="0" w:afterAutospacing="0"/>
              <w:ind w:left="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特殊建设工程消防设计审查</w:t>
            </w:r>
          </w:p>
        </w:tc>
        <w:tc>
          <w:tcPr>
            <w:tcW w:w="794" w:type="dxa"/>
            <w:tcBorders>
              <w:tl2br w:val="nil"/>
              <w:tr2bl w:val="nil"/>
            </w:tcBorders>
            <w:vAlign w:val="center"/>
          </w:tcPr>
          <w:p w14:paraId="107F2241">
            <w:pPr>
              <w:keepNext w:val="0"/>
              <w:keepLines w:val="0"/>
              <w:widowControl w:val="0"/>
              <w:suppressLineNumbers w:val="0"/>
              <w:overflowPunct w:val="0"/>
              <w:autoSpaceDE w:val="0"/>
              <w:autoSpaceDN w:val="0"/>
              <w:spacing w:before="0" w:beforeAutospacing="0" w:after="0" w:afterAutospacing="0"/>
              <w:ind w:left="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苏州市吴中区住建局</w:t>
            </w:r>
          </w:p>
        </w:tc>
        <w:tc>
          <w:tcPr>
            <w:tcW w:w="872" w:type="dxa"/>
            <w:tcBorders>
              <w:tl2br w:val="nil"/>
              <w:tr2bl w:val="nil"/>
            </w:tcBorders>
            <w:vAlign w:val="center"/>
          </w:tcPr>
          <w:p w14:paraId="10BFAF88">
            <w:pPr>
              <w:keepNext w:val="0"/>
              <w:keepLines w:val="0"/>
              <w:widowControl w:val="0"/>
              <w:suppressLineNumbers w:val="0"/>
              <w:overflowPunct w:val="0"/>
              <w:autoSpaceDE w:val="0"/>
              <w:autoSpaceDN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苏州市吴中区住建局</w:t>
            </w:r>
          </w:p>
        </w:tc>
        <w:tc>
          <w:tcPr>
            <w:tcW w:w="1010" w:type="dxa"/>
            <w:tcBorders>
              <w:tl2br w:val="nil"/>
              <w:tr2bl w:val="nil"/>
            </w:tcBorders>
            <w:vAlign w:val="center"/>
          </w:tcPr>
          <w:p w14:paraId="551F67F9">
            <w:pPr>
              <w:keepNext w:val="0"/>
              <w:keepLines w:val="0"/>
              <w:widowControl w:val="0"/>
              <w:suppressLineNumbers w:val="0"/>
              <w:overflowPunct w:val="0"/>
              <w:autoSpaceDE w:val="0"/>
              <w:autoSpaceDN w:val="0"/>
              <w:spacing w:before="0" w:beforeAutospacing="0" w:after="0" w:afterAutospacing="0" w:line="320" w:lineRule="exact"/>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建设工程建设单位</w:t>
            </w:r>
          </w:p>
        </w:tc>
        <w:tc>
          <w:tcPr>
            <w:tcW w:w="4922" w:type="dxa"/>
            <w:tcBorders>
              <w:tl2br w:val="nil"/>
              <w:tr2bl w:val="nil"/>
            </w:tcBorders>
            <w:shd w:val="clear" w:color="auto" w:fill="auto"/>
            <w:vAlign w:val="center"/>
          </w:tcPr>
          <w:p w14:paraId="17297E9E">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sz w:val="21"/>
                <w:szCs w:val="21"/>
                <w:lang w:val="en-US"/>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 xml:space="preserve">【法规】《 中华人民共和国消防法》（2021修正） </w:t>
            </w:r>
          </w:p>
          <w:p w14:paraId="605B094F">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sz w:val="21"/>
                <w:szCs w:val="21"/>
                <w:lang w:val="en-US"/>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第十条　对按照国家工程建设消防技术标准需要进行消防设计的建设工程，实行建设工程消防设计审查验收制度。</w:t>
            </w:r>
          </w:p>
          <w:p w14:paraId="0370E83F">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sz w:val="21"/>
                <w:szCs w:val="21"/>
                <w:lang w:val="en-US"/>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第十一条　国务院住房和城乡建设主管部门规定的特殊建设工程，建设单位应当将消防设计文件报送住房和城乡建设主管部门审查，住房和城乡建设主管部门依法对审查的结果负责。</w:t>
            </w:r>
          </w:p>
          <w:p w14:paraId="6A3B988D">
            <w:pPr>
              <w:keepNext w:val="0"/>
              <w:keepLines w:val="0"/>
              <w:widowControl w:val="0"/>
              <w:suppressLineNumbers w:val="0"/>
              <w:spacing w:before="0" w:beforeAutospacing="0" w:after="0" w:afterAutospacing="0"/>
              <w:ind w:left="0" w:leftChars="0" w:right="0" w:rightChars="0" w:firstLine="420" w:firstLineChars="20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第十二条　特殊建设工程未经消防设计审查或者审查不合格的，建设单位、施工单位不得施工。</w:t>
            </w:r>
          </w:p>
        </w:tc>
        <w:tc>
          <w:tcPr>
            <w:tcW w:w="926" w:type="dxa"/>
            <w:tcBorders>
              <w:tl2br w:val="nil"/>
              <w:tr2bl w:val="nil"/>
            </w:tcBorders>
            <w:vAlign w:val="center"/>
          </w:tcPr>
          <w:p w14:paraId="7B68B22F">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书面检查</w:t>
            </w:r>
          </w:p>
        </w:tc>
        <w:tc>
          <w:tcPr>
            <w:tcW w:w="1104" w:type="dxa"/>
            <w:tcBorders>
              <w:tl2br w:val="nil"/>
              <w:tr2bl w:val="nil"/>
            </w:tcBorders>
            <w:vAlign w:val="center"/>
          </w:tcPr>
          <w:p w14:paraId="4CB99E53">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依“双随机”抽取检查</w:t>
            </w:r>
          </w:p>
        </w:tc>
        <w:tc>
          <w:tcPr>
            <w:tcW w:w="1296" w:type="dxa"/>
            <w:tcBorders>
              <w:tl2br w:val="nil"/>
              <w:tr2bl w:val="nil"/>
            </w:tcBorders>
            <w:vAlign w:val="center"/>
          </w:tcPr>
          <w:p w14:paraId="52EF059B">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pPr>
          </w:p>
        </w:tc>
        <w:tc>
          <w:tcPr>
            <w:tcW w:w="1282" w:type="dxa"/>
            <w:tcBorders>
              <w:tl2br w:val="nil"/>
              <w:tr2bl w:val="nil"/>
            </w:tcBorders>
            <w:shd w:val="clear" w:color="auto" w:fill="auto"/>
            <w:vAlign w:val="center"/>
          </w:tcPr>
          <w:p w14:paraId="49FB242A">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对依法应当进行消防设计审查的建设工程，未经依法审查或者审查不合格擅自施工的处罚</w:t>
            </w:r>
          </w:p>
        </w:tc>
        <w:tc>
          <w:tcPr>
            <w:tcW w:w="1016" w:type="dxa"/>
            <w:tcBorders>
              <w:tl2br w:val="nil"/>
              <w:tr2bl w:val="nil"/>
            </w:tcBorders>
            <w:vAlign w:val="center"/>
          </w:tcPr>
          <w:p w14:paraId="2617D25E">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744E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vAlign w:val="center"/>
          </w:tcPr>
          <w:p w14:paraId="4465B0F5">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lang w:val="en-US"/>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16</w:t>
            </w:r>
          </w:p>
        </w:tc>
        <w:tc>
          <w:tcPr>
            <w:tcW w:w="1324" w:type="dxa"/>
            <w:tcBorders>
              <w:tl2br w:val="nil"/>
              <w:tr2bl w:val="nil"/>
            </w:tcBorders>
            <w:vAlign w:val="center"/>
          </w:tcPr>
          <w:p w14:paraId="5D1048F6">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sz w:val="21"/>
                <w:szCs w:val="21"/>
                <w:lang w:val="en-US"/>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特殊建设</w:t>
            </w:r>
          </w:p>
          <w:p w14:paraId="7532DD5C">
            <w:pPr>
              <w:keepNext w:val="0"/>
              <w:keepLines w:val="0"/>
              <w:widowControl w:val="0"/>
              <w:suppressLineNumbers w:val="0"/>
              <w:overflowPunct w:val="0"/>
              <w:autoSpaceDE w:val="0"/>
              <w:autoSpaceDN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消防验收</w:t>
            </w:r>
          </w:p>
        </w:tc>
        <w:tc>
          <w:tcPr>
            <w:tcW w:w="794" w:type="dxa"/>
            <w:tcBorders>
              <w:tl2br w:val="nil"/>
              <w:tr2bl w:val="nil"/>
            </w:tcBorders>
            <w:vAlign w:val="center"/>
          </w:tcPr>
          <w:p w14:paraId="552A3A6E">
            <w:pPr>
              <w:keepNext w:val="0"/>
              <w:keepLines w:val="0"/>
              <w:widowControl w:val="0"/>
              <w:suppressLineNumbers w:val="0"/>
              <w:overflowPunct w:val="0"/>
              <w:autoSpaceDE w:val="0"/>
              <w:autoSpaceDN w:val="0"/>
              <w:spacing w:before="0" w:beforeAutospacing="0" w:after="0" w:afterAutospacing="0"/>
              <w:ind w:left="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苏州市吴中区住建局</w:t>
            </w:r>
          </w:p>
        </w:tc>
        <w:tc>
          <w:tcPr>
            <w:tcW w:w="872" w:type="dxa"/>
            <w:tcBorders>
              <w:tl2br w:val="nil"/>
              <w:tr2bl w:val="nil"/>
            </w:tcBorders>
            <w:vAlign w:val="center"/>
          </w:tcPr>
          <w:p w14:paraId="2E52AEBE">
            <w:pPr>
              <w:keepNext w:val="0"/>
              <w:keepLines w:val="0"/>
              <w:widowControl w:val="0"/>
              <w:suppressLineNumbers w:val="0"/>
              <w:overflowPunct w:val="0"/>
              <w:autoSpaceDE w:val="0"/>
              <w:autoSpaceDN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苏州市吴中区住建局</w:t>
            </w:r>
          </w:p>
        </w:tc>
        <w:tc>
          <w:tcPr>
            <w:tcW w:w="1010" w:type="dxa"/>
            <w:tcBorders>
              <w:tl2br w:val="nil"/>
              <w:tr2bl w:val="nil"/>
            </w:tcBorders>
            <w:vAlign w:val="center"/>
          </w:tcPr>
          <w:p w14:paraId="08BB8B1F">
            <w:pPr>
              <w:keepNext w:val="0"/>
              <w:keepLines w:val="0"/>
              <w:widowControl w:val="0"/>
              <w:suppressLineNumbers w:val="0"/>
              <w:overflowPunct w:val="0"/>
              <w:autoSpaceDE w:val="0"/>
              <w:autoSpaceDN w:val="0"/>
              <w:spacing w:before="0" w:beforeAutospacing="0" w:after="0" w:afterAutospacing="0" w:line="320" w:lineRule="exact"/>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建设工程建设单位</w:t>
            </w:r>
          </w:p>
        </w:tc>
        <w:tc>
          <w:tcPr>
            <w:tcW w:w="4922" w:type="dxa"/>
            <w:tcBorders>
              <w:tl2br w:val="nil"/>
              <w:tr2bl w:val="nil"/>
            </w:tcBorders>
            <w:shd w:val="clear" w:color="auto" w:fill="auto"/>
            <w:vAlign w:val="center"/>
          </w:tcPr>
          <w:p w14:paraId="032C9767">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sz w:val="21"/>
                <w:szCs w:val="21"/>
                <w:lang w:val="en-US"/>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【法规】《 中华人民共和国消防法》（2021修正）</w:t>
            </w:r>
          </w:p>
          <w:p w14:paraId="5EDBDD68">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sz w:val="21"/>
                <w:szCs w:val="21"/>
                <w:lang w:val="en-US"/>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第十三条　国务院住房和城乡建设主管部门规定应当申请消防验收的建设工程竣工，建设单位应当向住房和城乡建设主管部门申请消防验收。</w:t>
            </w:r>
          </w:p>
          <w:p w14:paraId="4F65721D">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sz w:val="21"/>
                <w:szCs w:val="21"/>
                <w:lang w:val="en-US"/>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前款规定以外的其他建设工程，建设单位在验收后应当报住房和城乡建设主管部门备案，住房和城乡建设主管部门应当进行抽查。</w:t>
            </w: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br w:type="textWrapping"/>
            </w: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　　依法应当进行消防验收的建设工程，未经消防验收或者消防验收不合格的，禁止投入使用；其他建设工程经依法抽查不合格的，应当停止使用。</w:t>
            </w:r>
          </w:p>
          <w:p w14:paraId="5DE521F8">
            <w:pPr>
              <w:keepNext w:val="0"/>
              <w:keepLines w:val="0"/>
              <w:widowControl w:val="0"/>
              <w:suppressLineNumbers w:val="0"/>
              <w:spacing w:before="0" w:beforeAutospacing="0" w:after="0" w:afterAutospacing="0"/>
              <w:ind w:left="0" w:leftChars="0" w:right="0" w:rightChars="0" w:firstLine="420" w:firstLineChars="20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第十四条　建设工程消防设计审查、消防验收、备案和抽查的具体办法，由国务院住房和城乡建设主管部门规定。</w:t>
            </w:r>
          </w:p>
        </w:tc>
        <w:tc>
          <w:tcPr>
            <w:tcW w:w="926" w:type="dxa"/>
            <w:tcBorders>
              <w:tl2br w:val="nil"/>
              <w:tr2bl w:val="nil"/>
            </w:tcBorders>
            <w:vAlign w:val="center"/>
          </w:tcPr>
          <w:p w14:paraId="6ADF5209">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书面检查</w:t>
            </w:r>
          </w:p>
        </w:tc>
        <w:tc>
          <w:tcPr>
            <w:tcW w:w="1104" w:type="dxa"/>
            <w:tcBorders>
              <w:tl2br w:val="nil"/>
              <w:tr2bl w:val="nil"/>
            </w:tcBorders>
            <w:vAlign w:val="center"/>
          </w:tcPr>
          <w:p w14:paraId="6D91852C">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依“双随机”抽取检查</w:t>
            </w:r>
          </w:p>
        </w:tc>
        <w:tc>
          <w:tcPr>
            <w:tcW w:w="1296" w:type="dxa"/>
            <w:tcBorders>
              <w:tl2br w:val="nil"/>
              <w:tr2bl w:val="nil"/>
            </w:tcBorders>
            <w:vAlign w:val="center"/>
          </w:tcPr>
          <w:p w14:paraId="7ED9C2F0">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pPr>
          </w:p>
        </w:tc>
        <w:tc>
          <w:tcPr>
            <w:tcW w:w="1282" w:type="dxa"/>
            <w:tcBorders>
              <w:tl2br w:val="nil"/>
              <w:tr2bl w:val="nil"/>
            </w:tcBorders>
            <w:shd w:val="clear" w:color="auto" w:fill="auto"/>
            <w:vAlign w:val="center"/>
          </w:tcPr>
          <w:p w14:paraId="585C2A32">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对依法应当进行消防验收的建设工程未经消防验收或者消防验收不合格擅自投入使用的处罚</w:t>
            </w:r>
          </w:p>
        </w:tc>
        <w:tc>
          <w:tcPr>
            <w:tcW w:w="1016" w:type="dxa"/>
            <w:tcBorders>
              <w:tl2br w:val="nil"/>
              <w:tr2bl w:val="nil"/>
            </w:tcBorders>
            <w:vAlign w:val="center"/>
          </w:tcPr>
          <w:p w14:paraId="3A266CE0">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3CCD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3" w:hRule="atLeast"/>
        </w:trPr>
        <w:tc>
          <w:tcPr>
            <w:tcW w:w="536" w:type="dxa"/>
            <w:vMerge w:val="restart"/>
            <w:tcBorders>
              <w:tl2br w:val="nil"/>
              <w:tr2bl w:val="nil"/>
            </w:tcBorders>
            <w:vAlign w:val="center"/>
          </w:tcPr>
          <w:p w14:paraId="31732D12">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lang w:val="en-US"/>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t>17</w:t>
            </w:r>
          </w:p>
        </w:tc>
        <w:tc>
          <w:tcPr>
            <w:tcW w:w="1324" w:type="dxa"/>
            <w:vMerge w:val="restart"/>
            <w:tcBorders>
              <w:tl2br w:val="nil"/>
              <w:tr2bl w:val="nil"/>
            </w:tcBorders>
            <w:vAlign w:val="center"/>
          </w:tcPr>
          <w:p w14:paraId="643FD19F">
            <w:pPr>
              <w:keepNext w:val="0"/>
              <w:keepLines w:val="0"/>
              <w:widowControl w:val="0"/>
              <w:suppressLineNumbers w:val="0"/>
              <w:overflowPunct w:val="0"/>
              <w:autoSpaceDE w:val="0"/>
              <w:autoSpaceDN w:val="0"/>
              <w:spacing w:before="0" w:beforeAutospacing="0" w:after="0" w:afterAutospacing="0"/>
              <w:ind w:left="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其他建设工程消防验收备案和抽查</w:t>
            </w:r>
          </w:p>
        </w:tc>
        <w:tc>
          <w:tcPr>
            <w:tcW w:w="794" w:type="dxa"/>
            <w:vMerge w:val="restart"/>
            <w:tcBorders>
              <w:tl2br w:val="nil"/>
              <w:tr2bl w:val="nil"/>
            </w:tcBorders>
            <w:vAlign w:val="center"/>
          </w:tcPr>
          <w:p w14:paraId="3A1D7D0F">
            <w:pPr>
              <w:keepNext w:val="0"/>
              <w:keepLines w:val="0"/>
              <w:widowControl w:val="0"/>
              <w:suppressLineNumbers w:val="0"/>
              <w:overflowPunct w:val="0"/>
              <w:autoSpaceDE w:val="0"/>
              <w:autoSpaceDN w:val="0"/>
              <w:spacing w:before="0" w:beforeAutospacing="0" w:after="0" w:afterAutospacing="0"/>
              <w:ind w:left="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苏州市吴中区住建局</w:t>
            </w:r>
          </w:p>
        </w:tc>
        <w:tc>
          <w:tcPr>
            <w:tcW w:w="872" w:type="dxa"/>
            <w:vMerge w:val="restart"/>
            <w:tcBorders>
              <w:tl2br w:val="nil"/>
              <w:tr2bl w:val="nil"/>
            </w:tcBorders>
            <w:vAlign w:val="center"/>
          </w:tcPr>
          <w:p w14:paraId="544D8DDF">
            <w:pPr>
              <w:keepNext w:val="0"/>
              <w:keepLines w:val="0"/>
              <w:widowControl w:val="0"/>
              <w:suppressLineNumbers w:val="0"/>
              <w:overflowPunct w:val="0"/>
              <w:autoSpaceDE w:val="0"/>
              <w:autoSpaceDN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苏州市吴中区住建局消防科</w:t>
            </w:r>
          </w:p>
        </w:tc>
        <w:tc>
          <w:tcPr>
            <w:tcW w:w="1010" w:type="dxa"/>
            <w:vMerge w:val="restart"/>
            <w:tcBorders>
              <w:tl2br w:val="nil"/>
              <w:tr2bl w:val="nil"/>
            </w:tcBorders>
            <w:vAlign w:val="center"/>
          </w:tcPr>
          <w:p w14:paraId="0A6B9946">
            <w:pPr>
              <w:keepNext w:val="0"/>
              <w:keepLines w:val="0"/>
              <w:widowControl w:val="0"/>
              <w:suppressLineNumbers w:val="0"/>
              <w:overflowPunct w:val="0"/>
              <w:autoSpaceDE w:val="0"/>
              <w:autoSpaceDN w:val="0"/>
              <w:spacing w:before="0" w:beforeAutospacing="0" w:after="0" w:afterAutospacing="0" w:line="320" w:lineRule="exact"/>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建设工程建设单位</w:t>
            </w:r>
          </w:p>
        </w:tc>
        <w:tc>
          <w:tcPr>
            <w:tcW w:w="4922" w:type="dxa"/>
            <w:vMerge w:val="restart"/>
            <w:tcBorders>
              <w:tl2br w:val="nil"/>
              <w:tr2bl w:val="nil"/>
            </w:tcBorders>
            <w:shd w:val="clear" w:color="auto" w:fill="auto"/>
            <w:vAlign w:val="center"/>
          </w:tcPr>
          <w:p w14:paraId="58FD3965">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sz w:val="21"/>
                <w:szCs w:val="21"/>
                <w:lang w:val="en-US"/>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【法规】《 中华人民共和国消防法》（2021修正）</w:t>
            </w:r>
          </w:p>
          <w:p w14:paraId="625CB99A">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sz w:val="21"/>
                <w:szCs w:val="21"/>
                <w:lang w:val="en-US"/>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第十三条　国务院住房和城乡建设主管部门规定应当申请消防验收的建设工程竣工，建设单位应当向住房和城乡建设主管部门申请消防验收。</w:t>
            </w:r>
          </w:p>
          <w:p w14:paraId="48F221CD">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sz w:val="21"/>
                <w:szCs w:val="21"/>
                <w:lang w:val="en-US"/>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前款规定以外的其他建设工程，建设单位在验收后应当报住房和城乡建设主管部门备案，住房和城乡建设主管部门应当进行抽查。</w:t>
            </w: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br w:type="textWrapping"/>
            </w: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　　依法应当进行消防验收的建设工程，未经消防验收或者消防验收不合格的，禁止投入使用；其他建设工程经依法抽查不合格的，应当停止使用。</w:t>
            </w:r>
          </w:p>
          <w:p w14:paraId="6B218962">
            <w:pPr>
              <w:keepNext w:val="0"/>
              <w:keepLines w:val="0"/>
              <w:widowControl w:val="0"/>
              <w:suppressLineNumbers w:val="0"/>
              <w:spacing w:before="0" w:beforeAutospacing="0" w:after="0" w:afterAutospacing="0"/>
              <w:ind w:left="0" w:leftChars="0" w:right="0" w:rightChars="0" w:firstLine="420" w:firstLineChars="20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第十四条　建设工程消防设计审查、消防验收、备案和抽查的具体办法，由国务院住房和城乡建设主管部门规定。</w:t>
            </w:r>
          </w:p>
        </w:tc>
        <w:tc>
          <w:tcPr>
            <w:tcW w:w="926" w:type="dxa"/>
            <w:vMerge w:val="restart"/>
            <w:tcBorders>
              <w:tl2br w:val="nil"/>
              <w:tr2bl w:val="nil"/>
            </w:tcBorders>
            <w:vAlign w:val="center"/>
          </w:tcPr>
          <w:p w14:paraId="228CD90D">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书面检查</w:t>
            </w:r>
          </w:p>
        </w:tc>
        <w:tc>
          <w:tcPr>
            <w:tcW w:w="1104" w:type="dxa"/>
            <w:vMerge w:val="restart"/>
            <w:tcBorders>
              <w:tl2br w:val="nil"/>
              <w:tr2bl w:val="nil"/>
            </w:tcBorders>
            <w:vAlign w:val="center"/>
          </w:tcPr>
          <w:p w14:paraId="01EF58FE">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依“双随机”抽取检查</w:t>
            </w:r>
          </w:p>
        </w:tc>
        <w:tc>
          <w:tcPr>
            <w:tcW w:w="1296" w:type="dxa"/>
            <w:vMerge w:val="restart"/>
            <w:tcBorders>
              <w:tl2br w:val="nil"/>
              <w:tr2bl w:val="nil"/>
            </w:tcBorders>
            <w:vAlign w:val="center"/>
          </w:tcPr>
          <w:p w14:paraId="738A769E">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pPr>
          </w:p>
        </w:tc>
        <w:tc>
          <w:tcPr>
            <w:tcW w:w="1282" w:type="dxa"/>
            <w:tcBorders>
              <w:tl2br w:val="nil"/>
              <w:tr2bl w:val="nil"/>
            </w:tcBorders>
            <w:shd w:val="clear" w:color="auto" w:fill="auto"/>
            <w:vAlign w:val="center"/>
          </w:tcPr>
          <w:p w14:paraId="2196F95D">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对建设单位未依照规定进行竣工消防验收备案的处罚</w:t>
            </w:r>
          </w:p>
        </w:tc>
        <w:tc>
          <w:tcPr>
            <w:tcW w:w="1016" w:type="dxa"/>
            <w:vMerge w:val="restart"/>
            <w:tcBorders>
              <w:tl2br w:val="nil"/>
              <w:tr2bl w:val="nil"/>
            </w:tcBorders>
            <w:vAlign w:val="center"/>
          </w:tcPr>
          <w:p w14:paraId="2F2F5812">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r>
      <w:tr w14:paraId="25502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3" w:hRule="atLeast"/>
        </w:trPr>
        <w:tc>
          <w:tcPr>
            <w:tcW w:w="536" w:type="dxa"/>
            <w:vMerge w:val="continue"/>
            <w:tcBorders>
              <w:tl2br w:val="nil"/>
              <w:tr2bl w:val="nil"/>
            </w:tcBorders>
            <w:vAlign w:val="center"/>
          </w:tcPr>
          <w:p w14:paraId="0805D4F9">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color w:val="000000" w:themeColor="text1"/>
                <w:sz w:val="21"/>
                <w:szCs w:val="21"/>
                <w14:textFill>
                  <w14:solidFill>
                    <w14:schemeClr w14:val="tx1"/>
                  </w14:solidFill>
                </w14:textFill>
              </w:rPr>
            </w:pPr>
          </w:p>
        </w:tc>
        <w:tc>
          <w:tcPr>
            <w:tcW w:w="1324" w:type="dxa"/>
            <w:vMerge w:val="continue"/>
            <w:tcBorders>
              <w:tl2br w:val="nil"/>
              <w:tr2bl w:val="nil"/>
            </w:tcBorders>
            <w:vAlign w:val="center"/>
          </w:tcPr>
          <w:p w14:paraId="7858ED8E">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color w:val="000000" w:themeColor="text1"/>
                <w:sz w:val="21"/>
                <w:szCs w:val="21"/>
                <w14:textFill>
                  <w14:solidFill>
                    <w14:schemeClr w14:val="tx1"/>
                  </w14:solidFill>
                </w14:textFill>
              </w:rPr>
            </w:pPr>
          </w:p>
        </w:tc>
        <w:tc>
          <w:tcPr>
            <w:tcW w:w="794" w:type="dxa"/>
            <w:vMerge w:val="continue"/>
            <w:tcBorders>
              <w:tl2br w:val="nil"/>
              <w:tr2bl w:val="nil"/>
            </w:tcBorders>
            <w:vAlign w:val="center"/>
          </w:tcPr>
          <w:p w14:paraId="7F8CD328">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color w:val="000000" w:themeColor="text1"/>
                <w:sz w:val="21"/>
                <w:szCs w:val="21"/>
                <w14:textFill>
                  <w14:solidFill>
                    <w14:schemeClr w14:val="tx1"/>
                  </w14:solidFill>
                </w14:textFill>
              </w:rPr>
            </w:pPr>
          </w:p>
        </w:tc>
        <w:tc>
          <w:tcPr>
            <w:tcW w:w="872" w:type="dxa"/>
            <w:vMerge w:val="continue"/>
            <w:tcBorders>
              <w:tl2br w:val="nil"/>
              <w:tr2bl w:val="nil"/>
            </w:tcBorders>
            <w:vAlign w:val="center"/>
          </w:tcPr>
          <w:p w14:paraId="1F504CED">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color w:val="000000" w:themeColor="text1"/>
                <w:sz w:val="21"/>
                <w:szCs w:val="21"/>
                <w14:textFill>
                  <w14:solidFill>
                    <w14:schemeClr w14:val="tx1"/>
                  </w14:solidFill>
                </w14:textFill>
              </w:rPr>
            </w:pPr>
          </w:p>
        </w:tc>
        <w:tc>
          <w:tcPr>
            <w:tcW w:w="1010" w:type="dxa"/>
            <w:vMerge w:val="continue"/>
            <w:tcBorders>
              <w:tl2br w:val="nil"/>
              <w:tr2bl w:val="nil"/>
            </w:tcBorders>
            <w:vAlign w:val="center"/>
          </w:tcPr>
          <w:p w14:paraId="16CAE971">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color w:val="000000" w:themeColor="text1"/>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05D87051">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56ADB0C6">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color w:val="000000" w:themeColor="text1"/>
                <w:sz w:val="21"/>
                <w:szCs w:val="21"/>
                <w14:textFill>
                  <w14:solidFill>
                    <w14:schemeClr w14:val="tx1"/>
                  </w14:solidFill>
                </w14:textFill>
              </w:rPr>
            </w:pPr>
          </w:p>
        </w:tc>
        <w:tc>
          <w:tcPr>
            <w:tcW w:w="1104" w:type="dxa"/>
            <w:vMerge w:val="continue"/>
            <w:tcBorders>
              <w:tl2br w:val="nil"/>
              <w:tr2bl w:val="nil"/>
            </w:tcBorders>
            <w:vAlign w:val="center"/>
          </w:tcPr>
          <w:p w14:paraId="01F2497B">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color w:val="000000" w:themeColor="text1"/>
                <w:sz w:val="21"/>
                <w:szCs w:val="21"/>
                <w14:textFill>
                  <w14:solidFill>
                    <w14:schemeClr w14:val="tx1"/>
                  </w14:solidFill>
                </w14:textFill>
              </w:rPr>
            </w:pPr>
          </w:p>
        </w:tc>
        <w:tc>
          <w:tcPr>
            <w:tcW w:w="1296" w:type="dxa"/>
            <w:vMerge w:val="continue"/>
            <w:tcBorders>
              <w:tl2br w:val="nil"/>
              <w:tr2bl w:val="nil"/>
            </w:tcBorders>
            <w:vAlign w:val="center"/>
          </w:tcPr>
          <w:p w14:paraId="2189C1D2">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color w:val="000000" w:themeColor="text1"/>
                <w:sz w:val="21"/>
                <w:szCs w:val="21"/>
                <w14:textFill>
                  <w14:solidFill>
                    <w14:schemeClr w14:val="tx1"/>
                  </w14:solidFill>
                </w14:textFill>
              </w:rPr>
            </w:pPr>
          </w:p>
        </w:tc>
        <w:tc>
          <w:tcPr>
            <w:tcW w:w="1282" w:type="dxa"/>
            <w:tcBorders>
              <w:tl2br w:val="nil"/>
              <w:tr2bl w:val="nil"/>
            </w:tcBorders>
            <w:shd w:val="clear" w:color="auto" w:fill="auto"/>
            <w:vAlign w:val="center"/>
          </w:tcPr>
          <w:p w14:paraId="03605941">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对抽中检查不合格，投入使用的处罚</w:t>
            </w:r>
          </w:p>
        </w:tc>
        <w:tc>
          <w:tcPr>
            <w:tcW w:w="1016" w:type="dxa"/>
            <w:vMerge w:val="continue"/>
            <w:tcBorders>
              <w:tl2br w:val="nil"/>
              <w:tr2bl w:val="nil"/>
            </w:tcBorders>
            <w:vAlign w:val="center"/>
          </w:tcPr>
          <w:p w14:paraId="3F6BCF77">
            <w:pPr>
              <w:keepNext w:val="0"/>
              <w:keepLines w:val="0"/>
              <w:widowControl w:val="0"/>
              <w:suppressLineNumbers w:val="0"/>
              <w:spacing w:before="0" w:beforeAutospacing="0" w:after="0" w:afterAutospacing="0"/>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p>
        </w:tc>
      </w:tr>
      <w:tr w14:paraId="13DC0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restart"/>
            <w:tcBorders>
              <w:tl2br w:val="nil"/>
              <w:tr2bl w:val="nil"/>
            </w:tcBorders>
            <w:vAlign w:val="center"/>
          </w:tcPr>
          <w:p w14:paraId="53BD2849">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t>18</w:t>
            </w:r>
          </w:p>
        </w:tc>
        <w:tc>
          <w:tcPr>
            <w:tcW w:w="1324" w:type="dxa"/>
            <w:vMerge w:val="restart"/>
            <w:tcBorders>
              <w:tl2br w:val="nil"/>
              <w:tr2bl w:val="nil"/>
            </w:tcBorders>
            <w:vAlign w:val="center"/>
          </w:tcPr>
          <w:p w14:paraId="3DF1521B">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对建设工程档案的行政检查</w:t>
            </w:r>
          </w:p>
        </w:tc>
        <w:tc>
          <w:tcPr>
            <w:tcW w:w="794" w:type="dxa"/>
            <w:vMerge w:val="restart"/>
            <w:tcBorders>
              <w:tl2br w:val="nil"/>
              <w:tr2bl w:val="nil"/>
            </w:tcBorders>
            <w:vAlign w:val="center"/>
          </w:tcPr>
          <w:p w14:paraId="34AC013F">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苏州市吴中区住建局</w:t>
            </w:r>
          </w:p>
        </w:tc>
        <w:tc>
          <w:tcPr>
            <w:tcW w:w="872" w:type="dxa"/>
            <w:vMerge w:val="restart"/>
            <w:tcBorders>
              <w:tl2br w:val="nil"/>
              <w:tr2bl w:val="nil"/>
            </w:tcBorders>
            <w:vAlign w:val="center"/>
          </w:tcPr>
          <w:p w14:paraId="6AEB71BC">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bidi="ar"/>
                <w14:textFill>
                  <w14:solidFill>
                    <w14:schemeClr w14:val="tx1"/>
                  </w14:solidFill>
                </w14:textFill>
              </w:rPr>
              <w:t>苏州市吴中区城建档案馆</w:t>
            </w:r>
          </w:p>
        </w:tc>
        <w:tc>
          <w:tcPr>
            <w:tcW w:w="1010" w:type="dxa"/>
            <w:vMerge w:val="restart"/>
            <w:tcBorders>
              <w:tl2br w:val="nil"/>
              <w:tr2bl w:val="nil"/>
            </w:tcBorders>
            <w:vAlign w:val="center"/>
          </w:tcPr>
          <w:p w14:paraId="2B291ED2">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bidi="ar"/>
                <w14:textFill>
                  <w14:solidFill>
                    <w14:schemeClr w14:val="tx1"/>
                  </w14:solidFill>
                </w14:textFill>
              </w:rPr>
              <w:t>工程项目建设单位</w:t>
            </w:r>
          </w:p>
        </w:tc>
        <w:tc>
          <w:tcPr>
            <w:tcW w:w="4922" w:type="dxa"/>
            <w:vMerge w:val="restart"/>
            <w:tcBorders>
              <w:tl2br w:val="nil"/>
              <w:tr2bl w:val="nil"/>
            </w:tcBorders>
            <w:shd w:val="clear" w:color="auto" w:fill="auto"/>
            <w:vAlign w:val="center"/>
          </w:tcPr>
          <w:p w14:paraId="1C1EC2F5">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《建设工程质量管理条例》（国务院令第279号）</w:t>
            </w:r>
          </w:p>
          <w:p w14:paraId="4B4DA20E">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第十七条　建设单位应当严格按照国家有关档案管理的规定，及时收集、整理建设项目各环节的文件资料，建立、健全建设项目档案，并在建设工程竣工验收后，及时向建设行政主管部门或者其他有关部门移交建设项目档案。</w:t>
            </w:r>
          </w:p>
          <w:p w14:paraId="3B64F8EB">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第五十九条　违反本条例规定，建设工程竣工验收后，建设单位未向建设行政主管部门或者其他有关部门移交建设项目档案的，责令改正，处1万元以上10万元以下的罚款。</w:t>
            </w:r>
          </w:p>
          <w:p w14:paraId="7646F77D">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第七十三条 依照本条例规定，给予单位罚款处罚的，对单位直接负责的主管人员和其他直接责任人员处单位罚款数额５％以上１０％以下的罚款。</w:t>
            </w:r>
          </w:p>
          <w:p w14:paraId="4B8FF8A7">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第七十五条第一款  本条例规定的责令停业整顿、降低资质等级和吊销资质证书的行政处罚，由颁发资质证书的机关决定；其他行政处罚，由建设行政主管部门或者其他有关部门依照法定职权决定。</w:t>
            </w:r>
          </w:p>
          <w:p w14:paraId="7028655A">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《城市地下管线工程档案管理办法》（建设部令第 136 号，根据住房和城乡建设部令第 47 号修改）</w:t>
            </w:r>
          </w:p>
          <w:p w14:paraId="4E55F10E">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第九条   城建档案管理机构应当按照建设工程竣工联合验收的规定对地下管线工程档案进行验收。</w:t>
            </w:r>
          </w:p>
          <w:p w14:paraId="29A3F9A5">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第十七条 建设单位违反本办法规定，未移交地下管线工程档案的，由建设主管部门责令改正，处1万元以上10万元以下的罚款；对单位直接负责的主管人员和其他直接责任人员，处单位罚款数额5％以上10％以下的罚款；因建设单位未移交地下管线工程档案，造成施工单位在施工中损坏地下管线的，建设单位依法承担相应的责任。</w:t>
            </w:r>
          </w:p>
          <w:p w14:paraId="0D499D27">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第十八条 地下管线专业管理单位违反本办法规定，未移交地下管线工程档案的，由建设主管部门责令改正，处1万元以下的罚款；因地下管线专业管理单位未移交地下管线工程档案，造成施工单位在施工中损坏地下管线的，地下管线专业管理单位依法承担相应的责任。</w:t>
            </w:r>
          </w:p>
          <w:p w14:paraId="10E123AE">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《江苏省档案管理条例》</w:t>
            </w:r>
          </w:p>
          <w:p w14:paraId="093E6106">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第十四条 城市规划区域内工程项目的建设单位，应当向所在地城市建设档案机构登记并接受其档案检查和验收，按照有关规定及时向城市建设档案机构报送工程建设档案。</w:t>
            </w:r>
          </w:p>
          <w:p w14:paraId="778EF558">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《江苏省城建档案管理办法》（省政府令第 196 号）</w:t>
            </w:r>
          </w:p>
          <w:p w14:paraId="5D2D1506">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第十二条 各类建设工程均应当编制建设工程档案并进行登记，实行建设工程档案责任制。</w:t>
            </w:r>
          </w:p>
          <w:p w14:paraId="383DD8CA">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《城市建设档案管理规定》（建设部令第 61 号，根据住房和城乡建设部令第 47 号修改）</w:t>
            </w:r>
          </w:p>
          <w:p w14:paraId="0C312AAE">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第八条 列入城建档案馆档案接收范围的工程，城建档案管理机构按照建设工程竣工联合验收的规定对工程档案进行验收。</w:t>
            </w:r>
          </w:p>
          <w:p w14:paraId="24156D77">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《苏州市城市建设档案管理办法》（2004年苏州市人民政府令第59号）</w:t>
            </w:r>
          </w:p>
          <w:p w14:paraId="5857EC7B">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第六条  苏州市城市建设档案馆是城建档案管理的专门机构，具体负责本行政区域内城建档案的日常管理工作；各县级市城建档案馆负责本辖区城建档案的日常管理工作，并接受上级业务管理机构的业务指导。</w:t>
            </w:r>
          </w:p>
          <w:p w14:paraId="27C17085">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第八条 对在城建档案工作方面作出突出成绩和贡献，或向国家捐赠城建档案的单位、个人，建设行政主管部门和有关部门应当给予表彰或奖励。</w:t>
            </w:r>
          </w:p>
          <w:p w14:paraId="3C02F37A">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第二十条  建设工程档案实行登记制度。建设单位在领取建设工程规划许可证的同时，向城建档案管理机构办理登记手续，签订建设工程档案报送责任书。</w:t>
            </w:r>
          </w:p>
          <w:p w14:paraId="4DC909A9">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第二十四条  凡建设单位报送的建设工程档案资料符合要求的，由城建档案管理机构出具《建设工程档案接收证明书》，并加盖城建档案接收专用章。</w:t>
            </w:r>
          </w:p>
          <w:p w14:paraId="5F726940">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第三十八条  违反本办法有下列行为之一的，由市、县级市人民政府建设行政主管部门责令改正、予以警告，并可处以 1 万元以下罚款：（一）未按本办法第二十条办理登记手续的；</w:t>
            </w:r>
          </w:p>
          <w:p w14:paraId="2C6CF743">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（二）不按规定补测、补绘竣工图的；（三）竣工档案资料不完整或档案人员未签署验收意见，而通过工程竣工验收的。</w:t>
            </w:r>
          </w:p>
          <w:p w14:paraId="0509E5DD">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第三十九条　建设单位在建设工程竣工验收后，未向城建档案机构移交建设工程档案的，由市、县级市人民政府建设行政主管部门责令改正，处1万元以上10万元以下的罚款。</w:t>
            </w:r>
          </w:p>
          <w:p w14:paraId="38D495D6">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color w:val="000000" w:themeColor="text1"/>
                <w:sz w:val="21"/>
                <w:szCs w:val="21"/>
                <w14:textFill>
                  <w14:solidFill>
                    <w14:schemeClr w14:val="tx1"/>
                  </w14:solidFill>
                </w14:textFill>
              </w:rPr>
            </w:pPr>
          </w:p>
        </w:tc>
        <w:tc>
          <w:tcPr>
            <w:tcW w:w="926" w:type="dxa"/>
            <w:vMerge w:val="restart"/>
            <w:tcBorders>
              <w:tl2br w:val="nil"/>
              <w:tr2bl w:val="nil"/>
            </w:tcBorders>
            <w:vAlign w:val="center"/>
          </w:tcPr>
          <w:p w14:paraId="42B8C14E">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bidi="ar"/>
                <w14:textFill>
                  <w14:solidFill>
                    <w14:schemeClr w14:val="tx1"/>
                  </w14:solidFill>
                </w14:textFill>
              </w:rPr>
              <w:t>现场检查和线上检查相结合</w:t>
            </w:r>
          </w:p>
        </w:tc>
        <w:tc>
          <w:tcPr>
            <w:tcW w:w="1104" w:type="dxa"/>
            <w:vMerge w:val="restart"/>
            <w:tcBorders>
              <w:tl2br w:val="nil"/>
              <w:tr2bl w:val="nil"/>
            </w:tcBorders>
            <w:vAlign w:val="center"/>
          </w:tcPr>
          <w:p w14:paraId="09F123C0">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6-10月</w:t>
            </w:r>
          </w:p>
        </w:tc>
        <w:tc>
          <w:tcPr>
            <w:tcW w:w="1296" w:type="dxa"/>
            <w:tcBorders>
              <w:tl2br w:val="nil"/>
              <w:tr2bl w:val="nil"/>
            </w:tcBorders>
            <w:vAlign w:val="center"/>
          </w:tcPr>
          <w:p w14:paraId="7F1E43E8">
            <w:pPr>
              <w:keepNext w:val="0"/>
              <w:keepLines w:val="0"/>
              <w:widowControl/>
              <w:suppressLineNumbers w:val="0"/>
              <w:autoSpaceDE w:val="0"/>
              <w:autoSpaceDN w:val="0"/>
              <w:adjustRightInd w:val="0"/>
              <w:snapToGrid w:val="0"/>
              <w:spacing w:before="0" w:beforeAutospacing="0" w:after="200" w:afterAutospacing="0" w:line="240" w:lineRule="exact"/>
              <w:ind w:left="0" w:leftChars="0" w:right="0" w:rightChars="0"/>
              <w:jc w:val="left"/>
              <w:rPr>
                <w:rFonts w:hint="eastAsia" w:ascii="仿宋_GB2312" w:hAnsi="仿宋_GB2312" w:eastAsia="仿宋_GB2312" w:cs="仿宋_GB2312"/>
                <w:b/>
                <w:bCs/>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321017062000</w:t>
            </w:r>
          </w:p>
        </w:tc>
        <w:tc>
          <w:tcPr>
            <w:tcW w:w="1282" w:type="dxa"/>
            <w:tcBorders>
              <w:tl2br w:val="nil"/>
              <w:tr2bl w:val="nil"/>
            </w:tcBorders>
            <w:shd w:val="clear" w:color="auto" w:fill="auto"/>
            <w:vAlign w:val="center"/>
          </w:tcPr>
          <w:p w14:paraId="507B2A18">
            <w:pPr>
              <w:keepNext w:val="0"/>
              <w:keepLines w:val="0"/>
              <w:widowControl/>
              <w:suppressLineNumbers w:val="0"/>
              <w:autoSpaceDE w:val="0"/>
              <w:autoSpaceDN w:val="0"/>
              <w:adjustRightInd w:val="0"/>
              <w:snapToGrid w:val="0"/>
              <w:spacing w:before="0" w:beforeAutospacing="0" w:after="200" w:afterAutospacing="0" w:line="240" w:lineRule="exact"/>
              <w:ind w:left="0" w:leftChars="0" w:right="0" w:rightChars="0"/>
              <w:jc w:val="left"/>
              <w:rPr>
                <w:rFonts w:hint="eastAsia" w:ascii="仿宋_GB2312" w:hAnsi="仿宋_GB2312" w:eastAsia="仿宋_GB2312" w:cs="仿宋_GB2312"/>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地下管线工程档案验收</w:t>
            </w:r>
          </w:p>
        </w:tc>
        <w:tc>
          <w:tcPr>
            <w:tcW w:w="1016" w:type="dxa"/>
            <w:tcBorders>
              <w:tl2br w:val="nil"/>
              <w:tr2bl w:val="nil"/>
            </w:tcBorders>
            <w:vAlign w:val="center"/>
          </w:tcPr>
          <w:p w14:paraId="0627007E">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r>
      <w:tr w14:paraId="1F599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F4A7319">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6C767F31">
            <w:pPr>
              <w:keepNext w:val="0"/>
              <w:keepLines w:val="0"/>
              <w:suppressLineNumbers w:val="0"/>
              <w:overflowPunct w:val="0"/>
              <w:autoSpaceDE w:val="0"/>
              <w:autoSpaceDN w:val="0"/>
              <w:spacing w:before="0" w:beforeAutospacing="0" w:after="0" w:afterAutospacing="0"/>
              <w:ind w:left="0" w:right="0" w:firstLine="422" w:firstLineChars="20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7BDFCE1">
            <w:pPr>
              <w:keepNext w:val="0"/>
              <w:keepLines w:val="0"/>
              <w:suppressLineNumbers w:val="0"/>
              <w:overflowPunct w:val="0"/>
              <w:autoSpaceDE w:val="0"/>
              <w:autoSpaceDN w:val="0"/>
              <w:spacing w:before="0" w:beforeAutospacing="0" w:after="0" w:afterAutospacing="0"/>
              <w:ind w:left="0" w:right="0" w:firstLine="422" w:firstLineChars="20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09420356">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55E8C54">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006B4A80">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1B6A099D">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587CED74">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705B3A5C">
            <w:pPr>
              <w:keepNext w:val="0"/>
              <w:keepLines w:val="0"/>
              <w:widowControl/>
              <w:suppressLineNumbers w:val="0"/>
              <w:autoSpaceDE w:val="0"/>
              <w:autoSpaceDN w:val="0"/>
              <w:adjustRightInd w:val="0"/>
              <w:snapToGrid w:val="0"/>
              <w:spacing w:before="0" w:beforeAutospacing="0" w:after="200" w:afterAutospacing="0" w:line="240" w:lineRule="exact"/>
              <w:ind w:left="0" w:leftChars="0" w:right="0" w:rightChars="0"/>
              <w:jc w:val="left"/>
              <w:rPr>
                <w:rFonts w:hint="eastAsia" w:ascii="仿宋_GB2312" w:hAnsi="仿宋_GB2312" w:eastAsia="仿宋_GB2312" w:cs="仿宋_GB2312"/>
                <w:b/>
                <w:bCs/>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321017059000</w:t>
            </w:r>
          </w:p>
        </w:tc>
        <w:tc>
          <w:tcPr>
            <w:tcW w:w="1282" w:type="dxa"/>
            <w:tcBorders>
              <w:tl2br w:val="nil"/>
              <w:tr2bl w:val="nil"/>
            </w:tcBorders>
            <w:shd w:val="clear" w:color="auto" w:fill="auto"/>
            <w:vAlign w:val="center"/>
          </w:tcPr>
          <w:p w14:paraId="6A6D894E">
            <w:pPr>
              <w:keepNext w:val="0"/>
              <w:keepLines w:val="0"/>
              <w:widowControl/>
              <w:suppressLineNumbers w:val="0"/>
              <w:autoSpaceDE w:val="0"/>
              <w:autoSpaceDN w:val="0"/>
              <w:adjustRightInd w:val="0"/>
              <w:snapToGrid w:val="0"/>
              <w:spacing w:before="0" w:beforeAutospacing="0" w:after="200" w:afterAutospacing="0" w:line="240" w:lineRule="exact"/>
              <w:ind w:left="0" w:leftChars="0" w:right="0" w:rightChars="0"/>
              <w:jc w:val="left"/>
              <w:rPr>
                <w:rFonts w:hint="eastAsia" w:ascii="仿宋_GB2312" w:hAnsi="仿宋_GB2312" w:eastAsia="仿宋_GB2312" w:cs="仿宋_GB2312"/>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建设工程档案验收</w:t>
            </w:r>
          </w:p>
        </w:tc>
        <w:tc>
          <w:tcPr>
            <w:tcW w:w="1016" w:type="dxa"/>
            <w:tcBorders>
              <w:tl2br w:val="nil"/>
              <w:tr2bl w:val="nil"/>
            </w:tcBorders>
            <w:vAlign w:val="center"/>
          </w:tcPr>
          <w:p w14:paraId="001ED7A9">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r>
      <w:tr w14:paraId="3A525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2E427D97">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481C84C4">
            <w:pPr>
              <w:keepNext w:val="0"/>
              <w:keepLines w:val="0"/>
              <w:suppressLineNumbers w:val="0"/>
              <w:overflowPunct w:val="0"/>
              <w:autoSpaceDE w:val="0"/>
              <w:autoSpaceDN w:val="0"/>
              <w:spacing w:before="0" w:beforeAutospacing="0" w:after="0" w:afterAutospacing="0"/>
              <w:ind w:left="0" w:right="0" w:firstLine="422" w:firstLineChars="20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79C0E9C">
            <w:pPr>
              <w:keepNext w:val="0"/>
              <w:keepLines w:val="0"/>
              <w:suppressLineNumbers w:val="0"/>
              <w:overflowPunct w:val="0"/>
              <w:autoSpaceDE w:val="0"/>
              <w:autoSpaceDN w:val="0"/>
              <w:spacing w:before="0" w:beforeAutospacing="0" w:after="0" w:afterAutospacing="0"/>
              <w:ind w:left="0" w:right="0" w:firstLine="422" w:firstLineChars="20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4E393104">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24303EE">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4DE0FF90">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25960FF1">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0CA8C14">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68E67E9E">
            <w:pPr>
              <w:keepNext w:val="0"/>
              <w:keepLines w:val="0"/>
              <w:widowControl/>
              <w:suppressLineNumbers w:val="0"/>
              <w:autoSpaceDE w:val="0"/>
              <w:autoSpaceDN w:val="0"/>
              <w:adjustRightInd w:val="0"/>
              <w:snapToGrid w:val="0"/>
              <w:spacing w:before="0" w:beforeAutospacing="0" w:after="200" w:afterAutospacing="0" w:line="240" w:lineRule="exact"/>
              <w:ind w:left="0" w:leftChars="0" w:right="0" w:rightChars="0"/>
              <w:jc w:val="left"/>
              <w:rPr>
                <w:rFonts w:hint="eastAsia" w:ascii="仿宋_GB2312" w:hAnsi="仿宋_GB2312" w:eastAsia="仿宋_GB2312" w:cs="仿宋_GB2312"/>
                <w:b/>
                <w:bCs/>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320217397000</w:t>
            </w:r>
          </w:p>
        </w:tc>
        <w:tc>
          <w:tcPr>
            <w:tcW w:w="1282" w:type="dxa"/>
            <w:tcBorders>
              <w:tl2br w:val="nil"/>
              <w:tr2bl w:val="nil"/>
            </w:tcBorders>
            <w:shd w:val="clear" w:color="auto" w:fill="auto"/>
            <w:vAlign w:val="center"/>
          </w:tcPr>
          <w:p w14:paraId="4D86644C">
            <w:pPr>
              <w:keepNext w:val="0"/>
              <w:keepLines w:val="0"/>
              <w:widowControl/>
              <w:suppressLineNumbers w:val="0"/>
              <w:autoSpaceDE w:val="0"/>
              <w:autoSpaceDN w:val="0"/>
              <w:adjustRightInd w:val="0"/>
              <w:snapToGrid w:val="0"/>
              <w:spacing w:before="0" w:beforeAutospacing="0" w:after="200" w:afterAutospacing="0" w:line="240" w:lineRule="exact"/>
              <w:ind w:left="0" w:leftChars="0" w:right="0" w:rightChars="0"/>
              <w:jc w:val="left"/>
              <w:rPr>
                <w:rFonts w:hint="eastAsia" w:ascii="仿宋_GB2312" w:hAnsi="仿宋_GB2312" w:eastAsia="仿宋_GB2312" w:cs="仿宋_GB2312"/>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对专业管理单位未移交地下管线工程档案的处罚</w:t>
            </w:r>
          </w:p>
        </w:tc>
        <w:tc>
          <w:tcPr>
            <w:tcW w:w="1016" w:type="dxa"/>
            <w:tcBorders>
              <w:tl2br w:val="nil"/>
              <w:tr2bl w:val="nil"/>
            </w:tcBorders>
            <w:vAlign w:val="center"/>
          </w:tcPr>
          <w:p w14:paraId="39DB83B9">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r>
      <w:tr w14:paraId="4B8AC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539FB0B6">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1A4E6436">
            <w:pPr>
              <w:keepNext w:val="0"/>
              <w:keepLines w:val="0"/>
              <w:suppressLineNumbers w:val="0"/>
              <w:overflowPunct w:val="0"/>
              <w:autoSpaceDE w:val="0"/>
              <w:autoSpaceDN w:val="0"/>
              <w:spacing w:before="0" w:beforeAutospacing="0" w:after="0" w:afterAutospacing="0"/>
              <w:ind w:left="0" w:right="0" w:firstLine="422" w:firstLineChars="20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1081CEEA">
            <w:pPr>
              <w:keepNext w:val="0"/>
              <w:keepLines w:val="0"/>
              <w:suppressLineNumbers w:val="0"/>
              <w:overflowPunct w:val="0"/>
              <w:autoSpaceDE w:val="0"/>
              <w:autoSpaceDN w:val="0"/>
              <w:spacing w:before="0" w:beforeAutospacing="0" w:after="0" w:afterAutospacing="0"/>
              <w:ind w:left="0" w:right="0" w:firstLine="422" w:firstLineChars="20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0DBC841">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8B210D9">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24695D66">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67195A91">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37425DFE">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6855A1B4">
            <w:pPr>
              <w:keepNext w:val="0"/>
              <w:keepLines w:val="0"/>
              <w:widowControl/>
              <w:suppressLineNumbers w:val="0"/>
              <w:autoSpaceDE w:val="0"/>
              <w:autoSpaceDN w:val="0"/>
              <w:adjustRightInd w:val="0"/>
              <w:snapToGrid w:val="0"/>
              <w:spacing w:before="0" w:beforeAutospacing="0" w:after="200" w:afterAutospacing="0" w:line="240" w:lineRule="exact"/>
              <w:ind w:left="0" w:leftChars="0" w:right="0" w:rightChars="0"/>
              <w:jc w:val="left"/>
              <w:rPr>
                <w:rFonts w:hint="eastAsia" w:ascii="仿宋_GB2312" w:hAnsi="仿宋_GB2312" w:eastAsia="仿宋_GB2312" w:cs="仿宋_GB2312"/>
                <w:b/>
                <w:bCs/>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320217356000</w:t>
            </w:r>
          </w:p>
        </w:tc>
        <w:tc>
          <w:tcPr>
            <w:tcW w:w="1282" w:type="dxa"/>
            <w:tcBorders>
              <w:tl2br w:val="nil"/>
              <w:tr2bl w:val="nil"/>
            </w:tcBorders>
            <w:shd w:val="clear" w:color="auto" w:fill="auto"/>
            <w:vAlign w:val="center"/>
          </w:tcPr>
          <w:p w14:paraId="6B7D9224">
            <w:pPr>
              <w:keepNext w:val="0"/>
              <w:keepLines w:val="0"/>
              <w:widowControl/>
              <w:suppressLineNumbers w:val="0"/>
              <w:autoSpaceDE w:val="0"/>
              <w:autoSpaceDN w:val="0"/>
              <w:adjustRightInd w:val="0"/>
              <w:snapToGrid w:val="0"/>
              <w:spacing w:before="0" w:beforeAutospacing="0" w:after="200" w:afterAutospacing="0" w:line="240" w:lineRule="exact"/>
              <w:ind w:left="0" w:leftChars="0" w:right="0" w:rightChars="0"/>
              <w:jc w:val="left"/>
              <w:rPr>
                <w:rFonts w:hint="eastAsia" w:ascii="仿宋_GB2312" w:hAnsi="仿宋_GB2312" w:eastAsia="仿宋_GB2312" w:cs="仿宋_GB2312"/>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对建设单位未移交地下管线工程档案的处罚</w:t>
            </w:r>
          </w:p>
        </w:tc>
        <w:tc>
          <w:tcPr>
            <w:tcW w:w="1016" w:type="dxa"/>
            <w:tcBorders>
              <w:tl2br w:val="nil"/>
              <w:tr2bl w:val="nil"/>
            </w:tcBorders>
            <w:vAlign w:val="center"/>
          </w:tcPr>
          <w:p w14:paraId="7E371E45">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r>
      <w:tr w14:paraId="01F46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2CCE0109">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1E4F488">
            <w:pPr>
              <w:keepNext w:val="0"/>
              <w:keepLines w:val="0"/>
              <w:suppressLineNumbers w:val="0"/>
              <w:overflowPunct w:val="0"/>
              <w:autoSpaceDE w:val="0"/>
              <w:autoSpaceDN w:val="0"/>
              <w:spacing w:before="0" w:beforeAutospacing="0" w:after="0" w:afterAutospacing="0"/>
              <w:ind w:left="0" w:right="0" w:firstLine="422" w:firstLineChars="20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CEB5E50">
            <w:pPr>
              <w:keepNext w:val="0"/>
              <w:keepLines w:val="0"/>
              <w:suppressLineNumbers w:val="0"/>
              <w:overflowPunct w:val="0"/>
              <w:autoSpaceDE w:val="0"/>
              <w:autoSpaceDN w:val="0"/>
              <w:spacing w:before="0" w:beforeAutospacing="0" w:after="0" w:afterAutospacing="0"/>
              <w:ind w:left="0" w:right="0" w:firstLine="422" w:firstLineChars="20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EB5C3D1">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5166DF1">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6D20A98D">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79E9B3EC">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5F364694">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34D3AB50">
            <w:pPr>
              <w:keepNext w:val="0"/>
              <w:keepLines w:val="0"/>
              <w:widowControl/>
              <w:suppressLineNumbers w:val="0"/>
              <w:autoSpaceDE w:val="0"/>
              <w:autoSpaceDN w:val="0"/>
              <w:adjustRightInd w:val="0"/>
              <w:snapToGrid w:val="0"/>
              <w:spacing w:before="0" w:beforeAutospacing="0" w:after="20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320217167000</w:t>
            </w:r>
          </w:p>
          <w:p w14:paraId="043F72AD">
            <w:pPr>
              <w:keepNext w:val="0"/>
              <w:keepLines w:val="0"/>
              <w:widowControl/>
              <w:suppressLineNumbers w:val="0"/>
              <w:autoSpaceDE w:val="0"/>
              <w:autoSpaceDN w:val="0"/>
              <w:adjustRightInd w:val="0"/>
              <w:snapToGrid w:val="0"/>
              <w:spacing w:before="0" w:beforeAutospacing="0" w:after="200" w:afterAutospacing="0" w:line="240" w:lineRule="exact"/>
              <w:ind w:left="0" w:leftChars="0" w:right="0" w:rightChars="0"/>
              <w:jc w:val="left"/>
              <w:rPr>
                <w:rFonts w:hint="eastAsia" w:ascii="仿宋_GB2312" w:hAnsi="仿宋_GB2312" w:eastAsia="仿宋_GB2312" w:cs="仿宋_GB2312"/>
                <w:b/>
                <w:bCs/>
                <w:color w:val="000000" w:themeColor="text1"/>
                <w:kern w:val="0"/>
                <w:sz w:val="21"/>
                <w:szCs w:val="21"/>
                <w:lang w:val="en-US" w:eastAsia="zh-CN" w:bidi="ar"/>
                <w14:textFill>
                  <w14:solidFill>
                    <w14:schemeClr w14:val="tx1"/>
                  </w14:solidFill>
                </w14:textFill>
              </w:rPr>
            </w:pPr>
          </w:p>
        </w:tc>
        <w:tc>
          <w:tcPr>
            <w:tcW w:w="1282" w:type="dxa"/>
            <w:tcBorders>
              <w:tl2br w:val="nil"/>
              <w:tr2bl w:val="nil"/>
            </w:tcBorders>
            <w:shd w:val="clear" w:color="auto" w:fill="auto"/>
            <w:vAlign w:val="center"/>
          </w:tcPr>
          <w:p w14:paraId="361EDE60">
            <w:pPr>
              <w:keepNext w:val="0"/>
              <w:keepLines w:val="0"/>
              <w:widowControl/>
              <w:suppressLineNumbers w:val="0"/>
              <w:autoSpaceDE w:val="0"/>
              <w:autoSpaceDN w:val="0"/>
              <w:adjustRightInd w:val="0"/>
              <w:snapToGrid w:val="0"/>
              <w:spacing w:before="0" w:beforeAutospacing="0" w:after="200" w:afterAutospacing="0" w:line="240" w:lineRule="exact"/>
              <w:ind w:left="0" w:leftChars="0" w:right="0" w:rightChars="0"/>
              <w:jc w:val="left"/>
              <w:rPr>
                <w:rFonts w:hint="eastAsia" w:ascii="仿宋_GB2312" w:hAnsi="仿宋_GB2312" w:eastAsia="仿宋_GB2312" w:cs="仿宋_GB2312"/>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对建设单位未向建设行政主管部门移交建设项目档案的处罚</w:t>
            </w:r>
          </w:p>
        </w:tc>
        <w:tc>
          <w:tcPr>
            <w:tcW w:w="1016" w:type="dxa"/>
            <w:tcBorders>
              <w:tl2br w:val="nil"/>
              <w:tr2bl w:val="nil"/>
            </w:tcBorders>
            <w:vAlign w:val="center"/>
          </w:tcPr>
          <w:p w14:paraId="48230328">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r>
      <w:tr w14:paraId="3D27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B3A1F07">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78839E61">
            <w:pPr>
              <w:keepNext w:val="0"/>
              <w:keepLines w:val="0"/>
              <w:suppressLineNumbers w:val="0"/>
              <w:overflowPunct w:val="0"/>
              <w:autoSpaceDE w:val="0"/>
              <w:autoSpaceDN w:val="0"/>
              <w:spacing w:before="0" w:beforeAutospacing="0" w:after="0" w:afterAutospacing="0"/>
              <w:ind w:left="0" w:right="0" w:firstLine="422" w:firstLineChars="20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405243D">
            <w:pPr>
              <w:keepNext w:val="0"/>
              <w:keepLines w:val="0"/>
              <w:suppressLineNumbers w:val="0"/>
              <w:overflowPunct w:val="0"/>
              <w:autoSpaceDE w:val="0"/>
              <w:autoSpaceDN w:val="0"/>
              <w:spacing w:before="0" w:beforeAutospacing="0" w:after="0" w:afterAutospacing="0"/>
              <w:ind w:left="0" w:right="0" w:firstLine="422" w:firstLineChars="20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41675F44">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3D319D55">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591F6E55">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5F896384">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55C1440E">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6269F5FB">
            <w:pPr>
              <w:keepNext w:val="0"/>
              <w:keepLines w:val="0"/>
              <w:widowControl/>
              <w:suppressLineNumbers w:val="0"/>
              <w:autoSpaceDE w:val="0"/>
              <w:autoSpaceDN w:val="0"/>
              <w:adjustRightInd w:val="0"/>
              <w:snapToGrid w:val="0"/>
              <w:spacing w:before="0" w:beforeAutospacing="0" w:after="200" w:afterAutospacing="0" w:line="240" w:lineRule="exact"/>
              <w:ind w:left="0" w:leftChars="0" w:right="0" w:rightChars="0"/>
              <w:jc w:val="left"/>
              <w:rPr>
                <w:rFonts w:hint="eastAsia" w:ascii="仿宋_GB2312" w:hAnsi="仿宋_GB2312" w:eastAsia="仿宋_GB2312" w:cs="仿宋_GB2312"/>
                <w:b/>
                <w:bCs/>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3210SZ005000</w:t>
            </w:r>
          </w:p>
        </w:tc>
        <w:tc>
          <w:tcPr>
            <w:tcW w:w="1282" w:type="dxa"/>
            <w:tcBorders>
              <w:tl2br w:val="nil"/>
              <w:tr2bl w:val="nil"/>
            </w:tcBorders>
            <w:shd w:val="clear" w:color="auto" w:fill="auto"/>
            <w:vAlign w:val="center"/>
          </w:tcPr>
          <w:p w14:paraId="6270079B">
            <w:pPr>
              <w:keepNext w:val="0"/>
              <w:keepLines w:val="0"/>
              <w:widowControl/>
              <w:suppressLineNumbers w:val="0"/>
              <w:autoSpaceDE w:val="0"/>
              <w:autoSpaceDN w:val="0"/>
              <w:adjustRightInd w:val="0"/>
              <w:snapToGrid w:val="0"/>
              <w:spacing w:before="0" w:beforeAutospacing="0" w:after="200" w:afterAutospacing="0" w:line="240" w:lineRule="exact"/>
              <w:ind w:left="0" w:leftChars="0" w:right="0" w:rightChars="0"/>
              <w:jc w:val="left"/>
              <w:rPr>
                <w:rFonts w:hint="eastAsia" w:ascii="仿宋_GB2312" w:hAnsi="仿宋_GB2312" w:eastAsia="仿宋_GB2312" w:cs="仿宋_GB2312"/>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建设工程档案登记、接收</w:t>
            </w:r>
          </w:p>
        </w:tc>
        <w:tc>
          <w:tcPr>
            <w:tcW w:w="1016" w:type="dxa"/>
            <w:tcBorders>
              <w:tl2br w:val="nil"/>
              <w:tr2bl w:val="nil"/>
            </w:tcBorders>
            <w:vAlign w:val="center"/>
          </w:tcPr>
          <w:p w14:paraId="55221DE1">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r>
      <w:tr w14:paraId="54B3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16C0B5FF">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45B79BC7">
            <w:pPr>
              <w:keepNext w:val="0"/>
              <w:keepLines w:val="0"/>
              <w:suppressLineNumbers w:val="0"/>
              <w:overflowPunct w:val="0"/>
              <w:autoSpaceDE w:val="0"/>
              <w:autoSpaceDN w:val="0"/>
              <w:spacing w:before="0" w:beforeAutospacing="0" w:after="0" w:afterAutospacing="0"/>
              <w:ind w:left="0" w:right="0" w:firstLine="422" w:firstLineChars="20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CC9ADF6">
            <w:pPr>
              <w:keepNext w:val="0"/>
              <w:keepLines w:val="0"/>
              <w:suppressLineNumbers w:val="0"/>
              <w:overflowPunct w:val="0"/>
              <w:autoSpaceDE w:val="0"/>
              <w:autoSpaceDN w:val="0"/>
              <w:spacing w:before="0" w:beforeAutospacing="0" w:after="0" w:afterAutospacing="0"/>
              <w:ind w:left="0" w:right="0" w:firstLine="422" w:firstLineChars="20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FF8A014">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05ABC1A8">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429D3A6E">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6B71B26F">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E0E903E">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76831A5F">
            <w:pPr>
              <w:keepNext w:val="0"/>
              <w:keepLines w:val="0"/>
              <w:widowControl/>
              <w:suppressLineNumbers w:val="0"/>
              <w:autoSpaceDE w:val="0"/>
              <w:autoSpaceDN w:val="0"/>
              <w:adjustRightInd w:val="0"/>
              <w:snapToGrid w:val="0"/>
              <w:spacing w:before="0" w:beforeAutospacing="0" w:after="200" w:afterAutospacing="0" w:line="240" w:lineRule="exact"/>
              <w:ind w:left="0" w:leftChars="0" w:right="0" w:rightChars="0"/>
              <w:jc w:val="left"/>
              <w:rPr>
                <w:rFonts w:hint="eastAsia" w:ascii="仿宋_GB2312" w:hAnsi="仿宋_GB2312" w:eastAsia="仿宋_GB2312" w:cs="仿宋_GB2312"/>
                <w:b/>
                <w:bCs/>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3202SZ062000</w:t>
            </w:r>
          </w:p>
        </w:tc>
        <w:tc>
          <w:tcPr>
            <w:tcW w:w="1282" w:type="dxa"/>
            <w:tcBorders>
              <w:tl2br w:val="nil"/>
              <w:tr2bl w:val="nil"/>
            </w:tcBorders>
            <w:shd w:val="clear" w:color="auto" w:fill="auto"/>
            <w:vAlign w:val="center"/>
          </w:tcPr>
          <w:p w14:paraId="207C8A2F">
            <w:pPr>
              <w:keepNext w:val="0"/>
              <w:keepLines w:val="0"/>
              <w:widowControl/>
              <w:suppressLineNumbers w:val="0"/>
              <w:autoSpaceDE w:val="0"/>
              <w:autoSpaceDN w:val="0"/>
              <w:adjustRightInd w:val="0"/>
              <w:snapToGrid w:val="0"/>
              <w:spacing w:before="0" w:beforeAutospacing="0" w:after="200" w:afterAutospacing="0" w:line="240" w:lineRule="exact"/>
              <w:ind w:left="0" w:leftChars="0" w:right="0" w:rightChars="0"/>
              <w:jc w:val="left"/>
              <w:rPr>
                <w:rFonts w:hint="eastAsia" w:ascii="仿宋_GB2312" w:hAnsi="仿宋_GB2312" w:eastAsia="仿宋_GB2312" w:cs="仿宋_GB2312"/>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对竣工档案资料不完整或档案人员未签署验收意见，而通过工程竣工验收的处罚</w:t>
            </w:r>
          </w:p>
        </w:tc>
        <w:tc>
          <w:tcPr>
            <w:tcW w:w="1016" w:type="dxa"/>
            <w:tcBorders>
              <w:tl2br w:val="nil"/>
              <w:tr2bl w:val="nil"/>
            </w:tcBorders>
            <w:vAlign w:val="center"/>
          </w:tcPr>
          <w:p w14:paraId="4FB2B015">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r>
      <w:tr w14:paraId="046EC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7AA1EF4D">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62BF3E8E">
            <w:pPr>
              <w:keepNext w:val="0"/>
              <w:keepLines w:val="0"/>
              <w:suppressLineNumbers w:val="0"/>
              <w:overflowPunct w:val="0"/>
              <w:autoSpaceDE w:val="0"/>
              <w:autoSpaceDN w:val="0"/>
              <w:spacing w:before="0" w:beforeAutospacing="0" w:after="0" w:afterAutospacing="0"/>
              <w:ind w:left="0" w:right="0" w:firstLine="422" w:firstLineChars="20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6D1082E6">
            <w:pPr>
              <w:keepNext w:val="0"/>
              <w:keepLines w:val="0"/>
              <w:suppressLineNumbers w:val="0"/>
              <w:overflowPunct w:val="0"/>
              <w:autoSpaceDE w:val="0"/>
              <w:autoSpaceDN w:val="0"/>
              <w:spacing w:before="0" w:beforeAutospacing="0" w:after="0" w:afterAutospacing="0"/>
              <w:ind w:left="0" w:right="0" w:firstLine="422" w:firstLineChars="20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2DAD2B6">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24B9370A">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5CA5142A">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68064102">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77A69856">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0F0818B3">
            <w:pPr>
              <w:keepNext w:val="0"/>
              <w:keepLines w:val="0"/>
              <w:widowControl/>
              <w:suppressLineNumbers w:val="0"/>
              <w:autoSpaceDE w:val="0"/>
              <w:autoSpaceDN w:val="0"/>
              <w:adjustRightInd w:val="0"/>
              <w:snapToGrid w:val="0"/>
              <w:spacing w:before="0" w:beforeAutospacing="0" w:after="200" w:afterAutospacing="0" w:line="240" w:lineRule="exact"/>
              <w:ind w:left="0" w:leftChars="0" w:right="0" w:rightChars="0"/>
              <w:jc w:val="left"/>
              <w:rPr>
                <w:rFonts w:hint="eastAsia" w:ascii="仿宋_GB2312" w:hAnsi="仿宋_GB2312" w:eastAsia="仿宋_GB2312" w:cs="仿宋_GB2312"/>
                <w:b/>
                <w:bCs/>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3202SZ060000</w:t>
            </w:r>
          </w:p>
        </w:tc>
        <w:tc>
          <w:tcPr>
            <w:tcW w:w="1282" w:type="dxa"/>
            <w:tcBorders>
              <w:tl2br w:val="nil"/>
              <w:tr2bl w:val="nil"/>
            </w:tcBorders>
            <w:shd w:val="clear" w:color="auto" w:fill="auto"/>
            <w:vAlign w:val="center"/>
          </w:tcPr>
          <w:p w14:paraId="1263CE1E">
            <w:pPr>
              <w:keepNext w:val="0"/>
              <w:keepLines w:val="0"/>
              <w:widowControl/>
              <w:suppressLineNumbers w:val="0"/>
              <w:autoSpaceDE w:val="0"/>
              <w:autoSpaceDN w:val="0"/>
              <w:adjustRightInd w:val="0"/>
              <w:snapToGrid w:val="0"/>
              <w:spacing w:before="0" w:beforeAutospacing="0" w:after="200" w:afterAutospacing="0" w:line="240" w:lineRule="exact"/>
              <w:ind w:left="0" w:leftChars="0" w:right="0" w:rightChars="0"/>
              <w:jc w:val="left"/>
              <w:rPr>
                <w:rFonts w:hint="eastAsia" w:ascii="仿宋_GB2312" w:hAnsi="仿宋_GB2312" w:eastAsia="仿宋_GB2312" w:cs="仿宋_GB2312"/>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snapToGrid/>
                <w:color w:val="000000" w:themeColor="text1"/>
                <w:kern w:val="0"/>
                <w:sz w:val="21"/>
                <w:szCs w:val="21"/>
                <w:lang w:val="en-US" w:eastAsia="zh-CN" w:bidi="ar"/>
                <w14:textFill>
                  <w14:solidFill>
                    <w14:schemeClr w14:val="tx1"/>
                  </w14:solidFill>
                </w14:textFill>
              </w:rPr>
              <w:t>对建设单位在领取建设工程规划许可证的同时，未向城建档案管理机构办理登记手续的处罚</w:t>
            </w:r>
          </w:p>
        </w:tc>
        <w:tc>
          <w:tcPr>
            <w:tcW w:w="1016" w:type="dxa"/>
            <w:tcBorders>
              <w:tl2br w:val="nil"/>
              <w:tr2bl w:val="nil"/>
            </w:tcBorders>
            <w:vAlign w:val="center"/>
          </w:tcPr>
          <w:p w14:paraId="3FD8D1DB">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r>
      <w:tr w14:paraId="1D7D0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restart"/>
            <w:tcBorders>
              <w:tl2br w:val="nil"/>
              <w:tr2bl w:val="nil"/>
            </w:tcBorders>
            <w:vAlign w:val="center"/>
          </w:tcPr>
          <w:p w14:paraId="2F471E62">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0"/>
                <w:sz w:val="21"/>
                <w:szCs w:val="21"/>
                <w:lang w:val="en-US"/>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19</w:t>
            </w:r>
          </w:p>
        </w:tc>
        <w:tc>
          <w:tcPr>
            <w:tcW w:w="1324" w:type="dxa"/>
            <w:vMerge w:val="restart"/>
            <w:tcBorders>
              <w:tl2br w:val="nil"/>
              <w:tr2bl w:val="nil"/>
            </w:tcBorders>
            <w:vAlign w:val="center"/>
          </w:tcPr>
          <w:p w14:paraId="627F1EBF">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对房地产开发企业从事房地产开发经营活动的检查</w:t>
            </w:r>
          </w:p>
          <w:p w14:paraId="634E0DE6">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794" w:type="dxa"/>
            <w:vMerge w:val="restart"/>
            <w:tcBorders>
              <w:tl2br w:val="nil"/>
              <w:tr2bl w:val="nil"/>
            </w:tcBorders>
            <w:vAlign w:val="center"/>
          </w:tcPr>
          <w:p w14:paraId="31D24672">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苏州市吴中区住建局</w:t>
            </w:r>
          </w:p>
        </w:tc>
        <w:tc>
          <w:tcPr>
            <w:tcW w:w="872" w:type="dxa"/>
            <w:vMerge w:val="restart"/>
            <w:tcBorders>
              <w:tl2br w:val="nil"/>
              <w:tr2bl w:val="nil"/>
            </w:tcBorders>
            <w:vAlign w:val="center"/>
          </w:tcPr>
          <w:p w14:paraId="01A52D78">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房产管理科</w:t>
            </w:r>
          </w:p>
        </w:tc>
        <w:tc>
          <w:tcPr>
            <w:tcW w:w="1010" w:type="dxa"/>
            <w:vMerge w:val="restart"/>
            <w:tcBorders>
              <w:tl2br w:val="nil"/>
              <w:tr2bl w:val="nil"/>
            </w:tcBorders>
            <w:vAlign w:val="center"/>
          </w:tcPr>
          <w:p w14:paraId="10D5786B">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房地产开发企业</w:t>
            </w:r>
          </w:p>
        </w:tc>
        <w:tc>
          <w:tcPr>
            <w:tcW w:w="4922" w:type="dxa"/>
            <w:vMerge w:val="restart"/>
            <w:tcBorders>
              <w:tl2br w:val="nil"/>
              <w:tr2bl w:val="nil"/>
            </w:tcBorders>
            <w:shd w:val="clear" w:color="auto" w:fill="auto"/>
            <w:vAlign w:val="center"/>
          </w:tcPr>
          <w:p w14:paraId="72821DC3">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【地方性法规】《江苏省城市房地产交易管理条例》(2004年修正)　第十二条第二款　房地产开发企业应当在商品房现售前将房地产开发项目手册及符合商品房现售条件的有关证明文件报送房产管理部门备案。</w:t>
            </w:r>
          </w:p>
          <w:p w14:paraId="5EBFBB3F">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【规章】《商品房销售管理办法》（建设部令第88号）第八条房地产开发企业应当在商品房现售前将房地产开发项目手册及符合商品房现售条件的有关证明文件报送房地产开发主管部门备案。</w:t>
            </w:r>
          </w:p>
          <w:p w14:paraId="1202CB10">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法律】《中华人民共和国城市房地产管理法》（1994年7月5日主席令第二十九号，2009年8月27日予以修改）第四十五条：商品房预售，应当符合下列条件：（一）已交付全部土地使用权出让金，取得土地使用权证书；（二）持有建设工程规划许可证；（三）按提供预售的商品房计算，投入开发建设的资金达到工程建设总投资的百分之二十五以上，并已经确定施工进度和竣工交付日期；（四）向县级以上人民政府房产管理部门办理预售登记，取得商品房预售许可证明。……</w:t>
            </w:r>
          </w:p>
        </w:tc>
        <w:tc>
          <w:tcPr>
            <w:tcW w:w="926" w:type="dxa"/>
            <w:vMerge w:val="restart"/>
            <w:tcBorders>
              <w:tl2br w:val="nil"/>
              <w:tr2bl w:val="nil"/>
            </w:tcBorders>
            <w:vAlign w:val="center"/>
          </w:tcPr>
          <w:p w14:paraId="3FAC3FD5">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现场检查、书面检查、线上检查</w:t>
            </w:r>
          </w:p>
        </w:tc>
        <w:tc>
          <w:tcPr>
            <w:tcW w:w="1104" w:type="dxa"/>
            <w:vMerge w:val="restart"/>
            <w:tcBorders>
              <w:tl2br w:val="nil"/>
              <w:tr2bl w:val="nil"/>
            </w:tcBorders>
            <w:vAlign w:val="center"/>
          </w:tcPr>
          <w:p w14:paraId="708B8B92">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color w:val="000000" w:themeColor="text1"/>
                <w:sz w:val="21"/>
                <w:szCs w:val="21"/>
                <w:lang w:val="en-US"/>
                <w14:textFill>
                  <w14:solidFill>
                    <w14:schemeClr w14:val="tx1"/>
                  </w14:solidFill>
                </w14:textFill>
              </w:rPr>
            </w:pPr>
          </w:p>
          <w:p w14:paraId="6F20AA2B">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1次</w:t>
            </w:r>
          </w:p>
        </w:tc>
        <w:tc>
          <w:tcPr>
            <w:tcW w:w="1296" w:type="dxa"/>
            <w:tcBorders>
              <w:tl2br w:val="nil"/>
              <w:tr2bl w:val="nil"/>
            </w:tcBorders>
            <w:vAlign w:val="center"/>
          </w:tcPr>
          <w:p w14:paraId="338C1855">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bCs/>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321017036000</w:t>
            </w:r>
          </w:p>
        </w:tc>
        <w:tc>
          <w:tcPr>
            <w:tcW w:w="1282" w:type="dxa"/>
            <w:tcBorders>
              <w:tl2br w:val="nil"/>
              <w:tr2bl w:val="nil"/>
            </w:tcBorders>
            <w:shd w:val="clear" w:color="auto" w:fill="auto"/>
            <w:vAlign w:val="center"/>
          </w:tcPr>
          <w:p w14:paraId="4B637C4C">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商品房现售前房地产开发项目手册及符合商品房现售条件的有关证明文件备案（初审）</w:t>
            </w:r>
          </w:p>
        </w:tc>
        <w:tc>
          <w:tcPr>
            <w:tcW w:w="1016" w:type="dxa"/>
            <w:tcBorders>
              <w:tl2br w:val="nil"/>
              <w:tr2bl w:val="nil"/>
            </w:tcBorders>
            <w:vAlign w:val="center"/>
          </w:tcPr>
          <w:p w14:paraId="1034394C">
            <w:pPr>
              <w:keepNext w:val="0"/>
              <w:keepLines w:val="0"/>
              <w:suppressLineNumbers w:val="0"/>
              <w:spacing w:before="0" w:beforeAutospacing="0" w:after="0" w:afterAutospacing="0"/>
              <w:ind w:left="0" w:right="0"/>
              <w:jc w:val="left"/>
              <w:rPr>
                <w:rFonts w:hint="eastAsia" w:ascii="仿宋_GB2312" w:hAnsi="仿宋_GB2312" w:eastAsia="仿宋_GB2312" w:cs="仿宋_GB2312"/>
                <w:b/>
                <w:color w:val="000000" w:themeColor="text1"/>
                <w:kern w:val="0"/>
                <w:sz w:val="21"/>
                <w:szCs w:val="21"/>
                <w:lang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上级部署的专项检查除外</w:t>
            </w:r>
          </w:p>
        </w:tc>
      </w:tr>
      <w:tr w14:paraId="5F55C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0F43EEA1">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16BD4C78">
            <w:pPr>
              <w:keepNext w:val="0"/>
              <w:keepLines w:val="0"/>
              <w:suppressLineNumbers w:val="0"/>
              <w:overflowPunct w:val="0"/>
              <w:autoSpaceDE w:val="0"/>
              <w:autoSpaceDN w:val="0"/>
              <w:spacing w:before="0" w:beforeAutospacing="0" w:after="0" w:afterAutospacing="0"/>
              <w:ind w:left="0" w:right="0" w:firstLine="422" w:firstLineChars="200"/>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2E6A481">
            <w:pPr>
              <w:keepNext w:val="0"/>
              <w:keepLines w:val="0"/>
              <w:suppressLineNumbers w:val="0"/>
              <w:overflowPunct w:val="0"/>
              <w:autoSpaceDE w:val="0"/>
              <w:autoSpaceDN w:val="0"/>
              <w:spacing w:before="0" w:beforeAutospacing="0" w:after="0" w:afterAutospacing="0"/>
              <w:ind w:left="0" w:right="0" w:firstLine="422" w:firstLineChars="200"/>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1ABB6965">
            <w:pPr>
              <w:keepNext w:val="0"/>
              <w:keepLines w:val="0"/>
              <w:suppressLineNumbers w:val="0"/>
              <w:overflowPunct w:val="0"/>
              <w:autoSpaceDE w:val="0"/>
              <w:autoSpaceDN w:val="0"/>
              <w:spacing w:before="0" w:beforeAutospacing="0" w:after="0" w:afterAutospacing="0"/>
              <w:ind w:left="0" w:right="0"/>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60C12EA4">
            <w:pPr>
              <w:keepNext w:val="0"/>
              <w:keepLines w:val="0"/>
              <w:suppressLineNumbers w:val="0"/>
              <w:overflowPunct w:val="0"/>
              <w:autoSpaceDE w:val="0"/>
              <w:autoSpaceDN w:val="0"/>
              <w:spacing w:before="0" w:beforeAutospacing="0" w:after="0" w:afterAutospacing="0" w:line="320" w:lineRule="exact"/>
              <w:ind w:left="0" w:right="0"/>
              <w:jc w:val="center"/>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5F744488">
            <w:pPr>
              <w:keepNext w:val="0"/>
              <w:keepLines w:val="0"/>
              <w:suppressLineNumbers w:val="0"/>
              <w:spacing w:before="0" w:beforeAutospacing="0" w:after="0" w:afterAutospacing="0"/>
              <w:ind w:left="0" w:right="0" w:firstLine="420" w:firstLineChars="200"/>
              <w:rPr>
                <w:rFonts w:hint="eastAsia" w:ascii="仿宋_GB2312" w:hAnsi="仿宋_GB2312" w:eastAsia="仿宋_GB2312" w:cs="仿宋_GB2312"/>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7279887B">
            <w:pPr>
              <w:keepNext w:val="0"/>
              <w:keepLines w:val="0"/>
              <w:suppressLineNumbers w:val="0"/>
              <w:spacing w:before="0" w:beforeAutospacing="0" w:after="0" w:afterAutospacing="0"/>
              <w:ind w:left="0" w:right="0"/>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5215A3AD">
            <w:pPr>
              <w:keepNext w:val="0"/>
              <w:keepLines w:val="0"/>
              <w:suppressLineNumbers w:val="0"/>
              <w:spacing w:before="0" w:beforeAutospacing="0" w:after="0" w:afterAutospacing="0"/>
              <w:ind w:left="0" w:right="0"/>
              <w:rPr>
                <w:rFonts w:hint="eastAsia" w:ascii="仿宋_GB2312" w:hAnsi="仿宋_GB2312" w:eastAsia="仿宋_GB2312" w:cs="仿宋_GB2312"/>
                <w:b/>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1730F709">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bCs/>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000117050000</w:t>
            </w:r>
          </w:p>
        </w:tc>
        <w:tc>
          <w:tcPr>
            <w:tcW w:w="1282" w:type="dxa"/>
            <w:tcBorders>
              <w:tl2br w:val="nil"/>
              <w:tr2bl w:val="nil"/>
            </w:tcBorders>
            <w:shd w:val="clear" w:color="auto" w:fill="auto"/>
            <w:vAlign w:val="center"/>
          </w:tcPr>
          <w:p w14:paraId="5DC2D271">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商品房预售许可（初审）</w:t>
            </w:r>
          </w:p>
        </w:tc>
        <w:tc>
          <w:tcPr>
            <w:tcW w:w="1016" w:type="dxa"/>
            <w:tcBorders>
              <w:tl2br w:val="nil"/>
              <w:tr2bl w:val="nil"/>
            </w:tcBorders>
            <w:vAlign w:val="center"/>
          </w:tcPr>
          <w:p w14:paraId="054C83D6">
            <w:pPr>
              <w:keepNext w:val="0"/>
              <w:keepLines w:val="0"/>
              <w:suppressLineNumbers w:val="0"/>
              <w:spacing w:before="0" w:beforeAutospacing="0" w:after="0" w:afterAutospacing="0"/>
              <w:ind w:left="0" w:right="0"/>
              <w:rPr>
                <w:rFonts w:hint="eastAsia" w:ascii="仿宋_GB2312" w:hAnsi="仿宋_GB2312" w:eastAsia="仿宋_GB2312" w:cs="仿宋_GB2312"/>
                <w:b/>
                <w:color w:val="000000" w:themeColor="text1"/>
                <w:kern w:val="0"/>
                <w:sz w:val="21"/>
                <w:szCs w:val="21"/>
                <w14:textFill>
                  <w14:solidFill>
                    <w14:schemeClr w14:val="tx1"/>
                  </w14:solidFill>
                </w14:textFill>
              </w:rPr>
            </w:pPr>
          </w:p>
        </w:tc>
      </w:tr>
      <w:tr w14:paraId="7C222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vAlign w:val="center"/>
          </w:tcPr>
          <w:p w14:paraId="0845A408">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0"/>
                <w:sz w:val="21"/>
                <w:szCs w:val="21"/>
                <w:lang w:val="en-US"/>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20</w:t>
            </w:r>
          </w:p>
        </w:tc>
        <w:tc>
          <w:tcPr>
            <w:tcW w:w="1324" w:type="dxa"/>
            <w:tcBorders>
              <w:tl2br w:val="nil"/>
              <w:tr2bl w:val="nil"/>
            </w:tcBorders>
            <w:vAlign w:val="center"/>
          </w:tcPr>
          <w:p w14:paraId="72C93F2F">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对地名的命名、更名的监督检查</w:t>
            </w:r>
          </w:p>
        </w:tc>
        <w:tc>
          <w:tcPr>
            <w:tcW w:w="794" w:type="dxa"/>
            <w:tcBorders>
              <w:tl2br w:val="nil"/>
              <w:tr2bl w:val="nil"/>
            </w:tcBorders>
            <w:vAlign w:val="center"/>
          </w:tcPr>
          <w:p w14:paraId="09898565">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苏州市吴中区住建局</w:t>
            </w:r>
          </w:p>
        </w:tc>
        <w:tc>
          <w:tcPr>
            <w:tcW w:w="872" w:type="dxa"/>
            <w:tcBorders>
              <w:tl2br w:val="nil"/>
              <w:tr2bl w:val="nil"/>
            </w:tcBorders>
            <w:vAlign w:val="center"/>
          </w:tcPr>
          <w:p w14:paraId="4FBECF0F">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房产管理科</w:t>
            </w:r>
          </w:p>
        </w:tc>
        <w:tc>
          <w:tcPr>
            <w:tcW w:w="1010" w:type="dxa"/>
            <w:tcBorders>
              <w:tl2br w:val="nil"/>
              <w:tr2bl w:val="nil"/>
            </w:tcBorders>
            <w:vAlign w:val="center"/>
          </w:tcPr>
          <w:p w14:paraId="09E56793">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房地产开发企业</w:t>
            </w:r>
          </w:p>
        </w:tc>
        <w:tc>
          <w:tcPr>
            <w:tcW w:w="4922" w:type="dxa"/>
            <w:tcBorders>
              <w:tl2br w:val="nil"/>
              <w:tr2bl w:val="nil"/>
            </w:tcBorders>
            <w:shd w:val="clear" w:color="auto" w:fill="auto"/>
            <w:vAlign w:val="center"/>
          </w:tcPr>
          <w:p w14:paraId="0A3C32BA">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【行政法规】《地名管理条例》（国务院令第753号）</w:t>
            </w: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br w:type="textWrapping"/>
            </w: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 xml:space="preserve">第十二条　批准地名命名、更名应当遵循下列规定：       </w:t>
            </w: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br w:type="textWrapping"/>
            </w: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 xml:space="preserve">（六）具有重要地理方位意义的住宅区、楼宇的命名、更名，由直辖市、市、县人民政府住房和城乡建设主管部门征求同级人民政府地名行政主管部门的意见后批准；          </w:t>
            </w: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br w:type="textWrapping"/>
            </w: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第三十六条　违反本条例第四条、第九条、第十条、第十二条规定，擅自进行地名命名、更名的，由有审批权的行政机关责令限期改正；逾期不改正的，予以取缔，并对违法单位通报批评。</w:t>
            </w:r>
          </w:p>
        </w:tc>
        <w:tc>
          <w:tcPr>
            <w:tcW w:w="926" w:type="dxa"/>
            <w:tcBorders>
              <w:tl2br w:val="nil"/>
              <w:tr2bl w:val="nil"/>
            </w:tcBorders>
            <w:vAlign w:val="center"/>
          </w:tcPr>
          <w:p w14:paraId="348CEA29">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现场检查、书面检查</w:t>
            </w:r>
          </w:p>
        </w:tc>
        <w:tc>
          <w:tcPr>
            <w:tcW w:w="1104" w:type="dxa"/>
            <w:tcBorders>
              <w:tl2br w:val="nil"/>
              <w:tr2bl w:val="nil"/>
            </w:tcBorders>
            <w:vAlign w:val="center"/>
          </w:tcPr>
          <w:p w14:paraId="5DD28D32">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color w:val="000000" w:themeColor="text1"/>
                <w:kern w:val="0"/>
                <w:sz w:val="21"/>
                <w:szCs w:val="21"/>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 xml:space="preserve">   1次</w:t>
            </w:r>
          </w:p>
        </w:tc>
        <w:tc>
          <w:tcPr>
            <w:tcW w:w="1296" w:type="dxa"/>
            <w:tcBorders>
              <w:tl2br w:val="nil"/>
              <w:tr2bl w:val="nil"/>
            </w:tcBorders>
            <w:vAlign w:val="center"/>
          </w:tcPr>
          <w:p w14:paraId="5A82B2E8">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bCs/>
                <w:color w:val="000000" w:themeColor="text1"/>
                <w:kern w:val="0"/>
                <w:sz w:val="21"/>
                <w:szCs w:val="21"/>
                <w:lang w:val="en-US" w:eastAsia="zh-CN" w:bidi="ar"/>
                <w14:textFill>
                  <w14:solidFill>
                    <w14:schemeClr w14:val="tx1"/>
                  </w14:solidFill>
                </w14:textFill>
              </w:rPr>
            </w:pPr>
          </w:p>
        </w:tc>
        <w:tc>
          <w:tcPr>
            <w:tcW w:w="1282" w:type="dxa"/>
            <w:tcBorders>
              <w:tl2br w:val="nil"/>
              <w:tr2bl w:val="nil"/>
            </w:tcBorders>
            <w:shd w:val="clear" w:color="auto" w:fill="auto"/>
            <w:vAlign w:val="center"/>
          </w:tcPr>
          <w:p w14:paraId="4C1EBBC3">
            <w:pPr>
              <w:keepNext w:val="0"/>
              <w:keepLines w:val="0"/>
              <w:widowControl w:val="0"/>
              <w:suppressLineNumbers w:val="0"/>
              <w:spacing w:before="0" w:beforeAutospacing="0" w:after="0" w:afterAutospacing="0"/>
              <w:ind w:left="0" w:leftChars="0" w:right="0" w:rightChars="0"/>
              <w:jc w:val="both"/>
              <w:rPr>
                <w:rFonts w:hint="eastAsia" w:ascii="仿宋_GB2312" w:hAnsi="仿宋_GB2312" w:eastAsia="仿宋_GB2312" w:cs="仿宋_GB2312"/>
                <w:color w:val="000000" w:themeColor="text1"/>
                <w:kern w:val="0"/>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擅自进行地名命名、更名的取缔</w:t>
            </w:r>
          </w:p>
        </w:tc>
        <w:tc>
          <w:tcPr>
            <w:tcW w:w="1016" w:type="dxa"/>
            <w:tcBorders>
              <w:tl2br w:val="nil"/>
              <w:tr2bl w:val="nil"/>
            </w:tcBorders>
            <w:vAlign w:val="center"/>
          </w:tcPr>
          <w:p w14:paraId="2CC1CF81">
            <w:pPr>
              <w:keepNext w:val="0"/>
              <w:keepLines w:val="0"/>
              <w:suppressLineNumbers w:val="0"/>
              <w:spacing w:before="0" w:beforeAutospacing="0" w:after="0" w:afterAutospacing="0"/>
              <w:ind w:left="0" w:right="0"/>
              <w:rPr>
                <w:rFonts w:hint="eastAsia" w:ascii="仿宋_GB2312" w:hAnsi="仿宋_GB2312" w:eastAsia="仿宋_GB2312" w:cs="仿宋_GB2312"/>
                <w:b/>
                <w:color w:val="000000" w:themeColor="text1"/>
                <w:kern w:val="0"/>
                <w:sz w:val="21"/>
                <w:szCs w:val="21"/>
                <w14:textFill>
                  <w14:solidFill>
                    <w14:schemeClr w14:val="tx1"/>
                  </w14:solidFill>
                </w14:textFill>
              </w:rPr>
            </w:pPr>
          </w:p>
        </w:tc>
      </w:tr>
      <w:tr w14:paraId="0FF0E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restart"/>
            <w:tcBorders>
              <w:tl2br w:val="nil"/>
              <w:tr2bl w:val="nil"/>
            </w:tcBorders>
            <w:vAlign w:val="center"/>
          </w:tcPr>
          <w:p w14:paraId="0444AE5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21</w:t>
            </w:r>
          </w:p>
        </w:tc>
        <w:tc>
          <w:tcPr>
            <w:tcW w:w="1324" w:type="dxa"/>
            <w:vMerge w:val="restart"/>
            <w:tcBorders>
              <w:tl2br w:val="nil"/>
              <w:tr2bl w:val="nil"/>
            </w:tcBorders>
            <w:vAlign w:val="center"/>
          </w:tcPr>
          <w:p w14:paraId="0626BB94">
            <w:pPr>
              <w:keepNext w:val="0"/>
              <w:keepLines w:val="0"/>
              <w:widowControl/>
              <w:suppressLineNumbers w:val="0"/>
              <w:autoSpaceDE w:val="0"/>
              <w:autoSpaceDN w:val="0"/>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sz w:val="21"/>
                <w:szCs w:val="2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对出租房屋违规住人的检查</w:t>
            </w:r>
          </w:p>
          <w:p w14:paraId="0ECA7818">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p>
        </w:tc>
        <w:tc>
          <w:tcPr>
            <w:tcW w:w="794" w:type="dxa"/>
            <w:vMerge w:val="restart"/>
            <w:tcBorders>
              <w:tl2br w:val="nil"/>
              <w:tr2bl w:val="nil"/>
            </w:tcBorders>
            <w:vAlign w:val="center"/>
          </w:tcPr>
          <w:p w14:paraId="7BAEC46C">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吴中区住建局</w:t>
            </w:r>
          </w:p>
        </w:tc>
        <w:tc>
          <w:tcPr>
            <w:tcW w:w="872" w:type="dxa"/>
            <w:vMerge w:val="restart"/>
            <w:tcBorders>
              <w:tl2br w:val="nil"/>
              <w:tr2bl w:val="nil"/>
            </w:tcBorders>
            <w:vAlign w:val="center"/>
          </w:tcPr>
          <w:p w14:paraId="10408098">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房地产管理科</w:t>
            </w:r>
          </w:p>
        </w:tc>
        <w:tc>
          <w:tcPr>
            <w:tcW w:w="1010" w:type="dxa"/>
            <w:vMerge w:val="restart"/>
            <w:tcBorders>
              <w:tl2br w:val="nil"/>
              <w:tr2bl w:val="nil"/>
            </w:tcBorders>
            <w:vAlign w:val="center"/>
          </w:tcPr>
          <w:p w14:paraId="6EB9A00E">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出租房屋</w:t>
            </w:r>
          </w:p>
        </w:tc>
        <w:tc>
          <w:tcPr>
            <w:tcW w:w="4922" w:type="dxa"/>
            <w:vMerge w:val="restart"/>
            <w:tcBorders>
              <w:tl2br w:val="nil"/>
              <w:tr2bl w:val="nil"/>
            </w:tcBorders>
            <w:shd w:val="clear" w:color="auto" w:fill="auto"/>
            <w:vAlign w:val="center"/>
          </w:tcPr>
          <w:p w14:paraId="59E1C31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14:textFill>
                  <w14:solidFill>
                    <w14:schemeClr w14:val="tx1"/>
                  </w14:solidFill>
                </w14:textFill>
              </w:rPr>
              <w:t>【地方性法规】《江苏省城市房地产交易管理条例》（2018年《江苏省人民代表大会常务委员会关于修改〈江苏省大气污染防治条例〉等十六件地方性法规的决定》修订）</w:t>
            </w:r>
          </w:p>
          <w:p w14:paraId="18B11AD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14:textFill>
                  <w14:solidFill>
                    <w14:schemeClr w14:val="tx1"/>
                  </w14:solidFill>
                </w14:textFill>
              </w:rPr>
              <w:t>第二十九条有下列情形之一的房屋，不得出租：</w:t>
            </w:r>
          </w:p>
          <w:p w14:paraId="67F5FD4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14:textFill>
                  <w14:solidFill>
                    <w14:schemeClr w14:val="tx1"/>
                  </w14:solidFill>
                </w14:textFill>
              </w:rPr>
              <w:t>　　（四）经鉴定属于危险房屋不能继续使用的；</w:t>
            </w:r>
          </w:p>
          <w:p w14:paraId="5B17B70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14:textFill>
                  <w14:solidFill>
                    <w14:schemeClr w14:val="tx1"/>
                  </w14:solidFill>
                </w14:textFill>
              </w:rPr>
              <w:t>第四十条　违反本条例规定，出租不能继续使用的危险房屋的，由市、县（市）房产管理部门责令改正，没收违法所得，并可处以五百元以上二千元以下的罚款。造成人身、财产损害的，依法承担赔偿责任。</w:t>
            </w:r>
          </w:p>
          <w:p w14:paraId="7495E7E8">
            <w:pPr>
              <w:keepNext w:val="0"/>
              <w:keepLines w:val="0"/>
              <w:suppressLineNumbers w:val="0"/>
              <w:spacing w:before="0" w:beforeAutospacing="0" w:after="0" w:afterAutospacing="0"/>
              <w:ind w:left="0" w:right="0" w:firstLine="0" w:firstLineChars="0"/>
              <w:jc w:val="left"/>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【规章】《商品房屋租赁管理办法》（住房和城乡建设部令第6号）</w:t>
            </w:r>
          </w:p>
          <w:p w14:paraId="1CF634C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14:textFill>
                  <w14:solidFill>
                    <w14:schemeClr w14:val="tx1"/>
                  </w14:solidFill>
                </w14:textFill>
              </w:rPr>
              <w:t>第六条有下列情形之一的房屋不得出租：</w:t>
            </w:r>
          </w:p>
          <w:p w14:paraId="5705C92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14:textFill>
                  <w14:solidFill>
                    <w14:schemeClr w14:val="tx1"/>
                  </w14:solidFill>
                </w14:textFill>
              </w:rPr>
              <w:t>（一）属于违法建筑的；</w:t>
            </w:r>
          </w:p>
          <w:p w14:paraId="24D40AB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14:textFill>
                  <w14:solidFill>
                    <w14:schemeClr w14:val="tx1"/>
                  </w14:solidFill>
                </w14:textFill>
              </w:rPr>
              <w:t>（二）不符合安全、防灾等工程建设强制性标准的；</w:t>
            </w:r>
          </w:p>
          <w:p w14:paraId="579DEE8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14:textFill>
                  <w14:solidFill>
                    <w14:schemeClr w14:val="tx1"/>
                  </w14:solidFill>
                </w14:textFill>
              </w:rPr>
              <w:t>（三）违反规定改变房屋使用性质的；</w:t>
            </w:r>
          </w:p>
          <w:p w14:paraId="2A15B82B">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 xml:space="preserve">    第八条：出租住房的，应当以原设计的房间为最小出租单位，人均租住建筑面积不得低于当地人民政府规定的最低标准。厨房、卫生间、阳台和地下储藏室不得出租供人员居住。</w:t>
            </w:r>
          </w:p>
          <w:p w14:paraId="627E6E7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14:textFill>
                  <w14:solidFill>
                    <w14:schemeClr w14:val="tx1"/>
                  </w14:solidFill>
                </w14:textFill>
              </w:rPr>
              <w:t>第十四条第一款房屋租赁合同订立后三十日内，房屋租赁当事人应当到租赁房屋所在地直辖市、市、县人民政府建设（房地产）主管部门办理房屋租赁登记备案。</w:t>
            </w:r>
          </w:p>
          <w:p w14:paraId="298D59E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14:textFill>
                  <w14:solidFill>
                    <w14:schemeClr w14:val="tx1"/>
                  </w14:solidFill>
                </w14:textFill>
              </w:rPr>
              <w:t>第二十一条　违反本办法第六条规定的，由直辖市、市、县人民政府建设（房地产）主管部门责令限期改正，对没有违法所得的，可处以五千元以下罚款；对有违法所得的，可以处以违法所得一倍以上三倍以下，但不超过三万元的罚款。</w:t>
            </w:r>
          </w:p>
          <w:p w14:paraId="728709D4">
            <w:pPr>
              <w:keepNext w:val="0"/>
              <w:keepLines w:val="0"/>
              <w:suppressLineNumbers w:val="0"/>
              <w:spacing w:before="0" w:beforeAutospacing="0" w:after="0" w:afterAutospacing="0"/>
              <w:ind w:left="0" w:right="0" w:firstLine="0" w:firstLineChars="0"/>
              <w:jc w:val="left"/>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第二十二条 违反本办法第八条规定的，由直辖市、市、县人民政府建设（房地产）主管部门责令限期改正，逾期不改正的，可处以五千元以上三万元以下罚款。</w:t>
            </w:r>
          </w:p>
          <w:p w14:paraId="5E85500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14:textFill>
                  <w14:solidFill>
                    <w14:schemeClr w14:val="tx1"/>
                  </w14:solidFill>
                </w14:textFill>
              </w:rPr>
              <w:t>第十九条　房屋租赁登记备案内容发生变化、续租或者租赁终止的，当事人应当在三十日内，到原租赁登记备案的部门办理房屋租赁登记备案的变更、延续或者注销手续。</w:t>
            </w:r>
          </w:p>
          <w:p w14:paraId="467F192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14:textFill>
                  <w14:solidFill>
                    <w14:schemeClr w14:val="tx1"/>
                  </w14:solidFill>
                </w14:textFill>
              </w:rPr>
              <w:t>第二十三条　违反本办法第十四条第一款、第十九条规定的，由直辖市、市、县人民政府建设（房地产）主管部门责令限期改正；个人逾期不改正的，处以一千元以下罚款；单位逾期不改正的，处以一千元以上一万元以下罚款。</w:t>
            </w:r>
          </w:p>
          <w:p w14:paraId="4A347D1D">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【地方性法规】《苏州市出租房屋居住安全管理条例》</w:t>
            </w:r>
          </w:p>
          <w:p w14:paraId="04F58999">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 xml:space="preserve">  第五条  住房城乡建设部门负责出租房屋居住安全涉及的租赁管理工作，并将住房租赁备案信息录入房屋租赁信息服务与监管平台。 </w:t>
            </w:r>
          </w:p>
          <w:p w14:paraId="43D9364E">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 xml:space="preserve">  第十条  有下列情形之一的房屋，不得出租用于居住：（一）属于违法建筑的；（三）经依法鉴定属于危险房屋不能用于居住的；（四）不符合安全、防灾等工程建设强制性标准的； </w:t>
            </w:r>
          </w:p>
          <w:p w14:paraId="5D9753B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14:textFill>
                  <w14:solidFill>
                    <w14:schemeClr w14:val="tx1"/>
                  </w14:solidFill>
                </w14:textFill>
              </w:rPr>
              <w:t xml:space="preserve"> 第十一条  出租人应当以一间设有外墙窗户的卧室、起居室（厅）（以下统称居室）为最小出租单位。 卧室和使用面积不满十二平方米的起居室（厅）不得隔断出租。使用面积十二平方米以上的起居室（厅），可以隔断出一间居室出租；但是，县级市（区）人民政府规定起居室（厅）不得隔断出租的除外。起居室（厅）允许隔断出租的，应当采用轻质不燃材料固定围护，隔断后应当具备直接天然采光和自然通风条件，保障房屋整体结构安全，不得影响人员疏散、逃生和消防救援。 厨房、卫生间、阳台、车库和地下储藏室不得出租用于居住。 </w:t>
            </w:r>
          </w:p>
          <w:p w14:paraId="5577602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14:textFill>
                  <w14:solidFill>
                    <w14:schemeClr w14:val="tx1"/>
                  </w14:solidFill>
                </w14:textFill>
              </w:rPr>
              <w:t xml:space="preserve">  第十二条  出租的每间居室人均使用面积不得低于四平方米。 出租的每间居室居住的人数不得超过两人。但是，有法定赡养、抚养、扶养义务关系的除外。 </w:t>
            </w:r>
          </w:p>
          <w:p w14:paraId="7D92D448">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 xml:space="preserve">  第二十五条（法律责任一） 违反本条例第十条第一项、第四项规定的，对涉及国有土地上的房屋的出租人，由住房城乡建设部门责令改正，对没有违法所得的，处以一千元以上五千元以下罚款；对有违法所得的，处以违法所得一倍以上三倍以下，但不超过三万元罚款。</w:t>
            </w:r>
          </w:p>
          <w:p w14:paraId="0F590A06">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14:textFill>
                  <w14:solidFill>
                    <w14:schemeClr w14:val="tx1"/>
                  </w14:solidFill>
                </w14:textFill>
              </w:rPr>
              <w:t>违反本条例第十条第三项规定的，对涉及国有土地上的房屋的出租人，由住房城乡建设部门责令改正，没收违法所得，并处以五百元以上二千元以下罚款。造成人身、财产损害的，依法承担赔偿责任。</w:t>
            </w:r>
          </w:p>
          <w:p w14:paraId="144E313F">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 xml:space="preserve"> 违反本条例第十条第一项、第三项、第四项规定的，对涉及集体土地上的房屋的出租人，由房屋所在地镇人民政府或者县级市（区）人民政府确定的部门依照本条第一款、第二款的规定处罚。</w:t>
            </w:r>
          </w:p>
          <w:p w14:paraId="355C2B2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14:textFill>
                  <w14:solidFill>
                    <w14:schemeClr w14:val="tx1"/>
                  </w14:solidFill>
                </w14:textFill>
              </w:rPr>
              <w:t xml:space="preserve">  第二十六条（法律责任二） 违反本条例第十一条、第十二条规定的，对涉及国有土地上的房屋的出租人，由住房城乡建设部门责令限期改正；逾期不改正的，处以五千元以上三万元以下罚款。</w:t>
            </w:r>
          </w:p>
          <w:p w14:paraId="3AE9C279">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14:textFill>
                  <w14:solidFill>
                    <w14:schemeClr w14:val="tx1"/>
                  </w14:solidFill>
                </w14:textFill>
              </w:rPr>
              <w:t xml:space="preserve">  违反本条例第十一条、第十二条规定的，对涉及集体土地上的房屋的出租人，由房屋所在地镇人民政府或者县级市（区）人民政府确定的部门依照前款规定处罚。</w:t>
            </w:r>
          </w:p>
        </w:tc>
        <w:tc>
          <w:tcPr>
            <w:tcW w:w="926" w:type="dxa"/>
            <w:vMerge w:val="restart"/>
            <w:tcBorders>
              <w:tl2br w:val="nil"/>
              <w:tr2bl w:val="nil"/>
            </w:tcBorders>
            <w:vAlign w:val="center"/>
          </w:tcPr>
          <w:p w14:paraId="3CB8C59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现场检查</w:t>
            </w:r>
          </w:p>
        </w:tc>
        <w:tc>
          <w:tcPr>
            <w:tcW w:w="1104" w:type="dxa"/>
            <w:vMerge w:val="restart"/>
            <w:tcBorders>
              <w:tl2br w:val="nil"/>
              <w:tr2bl w:val="nil"/>
            </w:tcBorders>
            <w:vAlign w:val="center"/>
          </w:tcPr>
          <w:p w14:paraId="00A68004">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shd w:val="clear" w:color="auto" w:fill="FFFFFF"/>
                <w:lang w:val="en-US" w:eastAsia="zh-CN"/>
                <w14:textFill>
                  <w14:solidFill>
                    <w14:schemeClr w14:val="tx1"/>
                  </w14:solidFill>
                </w14:textFill>
              </w:rPr>
              <w:t>全年</w:t>
            </w:r>
          </w:p>
        </w:tc>
        <w:tc>
          <w:tcPr>
            <w:tcW w:w="1296" w:type="dxa"/>
            <w:tcBorders>
              <w:tl2br w:val="nil"/>
              <w:tr2bl w:val="nil"/>
            </w:tcBorders>
            <w:vAlign w:val="center"/>
          </w:tcPr>
          <w:p w14:paraId="5DEC861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320217362000</w:t>
            </w:r>
          </w:p>
        </w:tc>
        <w:tc>
          <w:tcPr>
            <w:tcW w:w="1282" w:type="dxa"/>
            <w:tcBorders>
              <w:tl2br w:val="nil"/>
              <w:tr2bl w:val="nil"/>
            </w:tcBorders>
            <w:shd w:val="clear" w:color="auto" w:fill="auto"/>
            <w:vAlign w:val="center"/>
          </w:tcPr>
          <w:p w14:paraId="77CC704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对出租住房，没有以原设计的房间为最小出租单位的；人均居住建筑面积低于当地人民政府规定的最低标准的；厨房、卫生间、阳台、地下储藏间出租供人租住的；以上违法行为逾期不改正的处罚</w:t>
            </w:r>
          </w:p>
        </w:tc>
        <w:tc>
          <w:tcPr>
            <w:tcW w:w="1016" w:type="dxa"/>
            <w:tcBorders>
              <w:tl2br w:val="nil"/>
              <w:tr2bl w:val="nil"/>
            </w:tcBorders>
            <w:vAlign w:val="center"/>
          </w:tcPr>
          <w:p w14:paraId="70006BA7">
            <w:pPr>
              <w:keepNext w:val="0"/>
              <w:keepLines w:val="0"/>
              <w:suppressLineNumbers w:val="0"/>
              <w:spacing w:before="0" w:beforeAutospacing="0" w:after="0" w:afterAutospacing="0"/>
              <w:ind w:left="0" w:right="0"/>
              <w:rPr>
                <w:rFonts w:hint="eastAsia" w:ascii="仿宋_GB2312" w:hAnsi="仿宋_GB2312" w:eastAsia="仿宋_GB2312" w:cs="仿宋_GB2312"/>
                <w:b/>
                <w:color w:val="000000" w:themeColor="text1"/>
                <w:kern w:val="0"/>
                <w:sz w:val="21"/>
                <w:szCs w:val="21"/>
                <w14:textFill>
                  <w14:solidFill>
                    <w14:schemeClr w14:val="tx1"/>
                  </w14:solidFill>
                </w14:textFill>
              </w:rPr>
            </w:pPr>
          </w:p>
        </w:tc>
      </w:tr>
      <w:tr w14:paraId="24F0D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4178177B">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08E63B29">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0C2327D6">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0366C68">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46082BF4">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5A34AF5D">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7353BB5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7B2D7D6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54BB999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320217732000</w:t>
            </w:r>
          </w:p>
        </w:tc>
        <w:tc>
          <w:tcPr>
            <w:tcW w:w="1282" w:type="dxa"/>
            <w:tcBorders>
              <w:tl2br w:val="nil"/>
              <w:tr2bl w:val="nil"/>
            </w:tcBorders>
            <w:shd w:val="clear" w:color="auto" w:fill="auto"/>
            <w:vAlign w:val="center"/>
          </w:tcPr>
          <w:p w14:paraId="02A7687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对出租不能继续使用的危险房屋的处罚</w:t>
            </w:r>
          </w:p>
        </w:tc>
        <w:tc>
          <w:tcPr>
            <w:tcW w:w="1016" w:type="dxa"/>
            <w:tcBorders>
              <w:tl2br w:val="nil"/>
              <w:tr2bl w:val="nil"/>
            </w:tcBorders>
            <w:vAlign w:val="center"/>
          </w:tcPr>
          <w:p w14:paraId="31D7D93F">
            <w:pPr>
              <w:keepNext w:val="0"/>
              <w:keepLines w:val="0"/>
              <w:suppressLineNumbers w:val="0"/>
              <w:spacing w:before="0" w:beforeAutospacing="0" w:after="0" w:afterAutospacing="0"/>
              <w:ind w:left="0" w:right="0"/>
              <w:rPr>
                <w:rFonts w:hint="eastAsia" w:ascii="仿宋_GB2312" w:hAnsi="仿宋_GB2312" w:eastAsia="仿宋_GB2312" w:cs="仿宋_GB2312"/>
                <w:b/>
                <w:color w:val="000000" w:themeColor="text1"/>
                <w:kern w:val="0"/>
                <w:sz w:val="21"/>
                <w:szCs w:val="21"/>
                <w14:textFill>
                  <w14:solidFill>
                    <w14:schemeClr w14:val="tx1"/>
                  </w14:solidFill>
                </w14:textFill>
              </w:rPr>
            </w:pPr>
          </w:p>
        </w:tc>
      </w:tr>
      <w:tr w14:paraId="3813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3BB7C852">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754F1B1">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6F164E58">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3F8988CF">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2D2069F9">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4217A88C">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35132BD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502FD19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3126310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320217731000</w:t>
            </w:r>
          </w:p>
        </w:tc>
        <w:tc>
          <w:tcPr>
            <w:tcW w:w="1282" w:type="dxa"/>
            <w:tcBorders>
              <w:tl2br w:val="nil"/>
              <w:tr2bl w:val="nil"/>
            </w:tcBorders>
            <w:shd w:val="clear" w:color="auto" w:fill="auto"/>
            <w:vAlign w:val="center"/>
          </w:tcPr>
          <w:p w14:paraId="6FFF073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对出租属于违法建筑的房屋、出租不符合安全、防灾等工程建设强制性标准的房屋、出租违反规定改变房屋使用性质的房屋的处罚</w:t>
            </w:r>
          </w:p>
        </w:tc>
        <w:tc>
          <w:tcPr>
            <w:tcW w:w="1016" w:type="dxa"/>
            <w:tcBorders>
              <w:tl2br w:val="nil"/>
              <w:tr2bl w:val="nil"/>
            </w:tcBorders>
            <w:vAlign w:val="center"/>
          </w:tcPr>
          <w:p w14:paraId="2FA074B8">
            <w:pPr>
              <w:keepNext w:val="0"/>
              <w:keepLines w:val="0"/>
              <w:suppressLineNumbers w:val="0"/>
              <w:spacing w:before="0" w:beforeAutospacing="0" w:after="0" w:afterAutospacing="0"/>
              <w:ind w:left="0" w:right="0"/>
              <w:rPr>
                <w:rFonts w:hint="eastAsia" w:ascii="仿宋_GB2312" w:hAnsi="仿宋_GB2312" w:eastAsia="仿宋_GB2312" w:cs="仿宋_GB2312"/>
                <w:b/>
                <w:color w:val="000000" w:themeColor="text1"/>
                <w:kern w:val="0"/>
                <w:sz w:val="21"/>
                <w:szCs w:val="21"/>
                <w14:textFill>
                  <w14:solidFill>
                    <w14:schemeClr w14:val="tx1"/>
                  </w14:solidFill>
                </w14:textFill>
              </w:rPr>
            </w:pPr>
          </w:p>
        </w:tc>
      </w:tr>
      <w:tr w14:paraId="2581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4340A94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6E41C203">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71FC9BA7">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7FBCDD2">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1A6C164F">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1CB5E5A1">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219A8B8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04535E1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02358FA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320217744000</w:t>
            </w:r>
          </w:p>
        </w:tc>
        <w:tc>
          <w:tcPr>
            <w:tcW w:w="1282" w:type="dxa"/>
            <w:tcBorders>
              <w:tl2br w:val="nil"/>
              <w:tr2bl w:val="nil"/>
            </w:tcBorders>
            <w:shd w:val="clear" w:color="auto" w:fill="auto"/>
            <w:vAlign w:val="center"/>
          </w:tcPr>
          <w:p w14:paraId="44658AD9">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对未按规定办理房屋艅登记备案，或变更、延续或者注销手续的处罚</w:t>
            </w:r>
          </w:p>
        </w:tc>
        <w:tc>
          <w:tcPr>
            <w:tcW w:w="1016" w:type="dxa"/>
            <w:tcBorders>
              <w:tl2br w:val="nil"/>
              <w:tr2bl w:val="nil"/>
            </w:tcBorders>
            <w:vAlign w:val="center"/>
          </w:tcPr>
          <w:p w14:paraId="1695967A">
            <w:pPr>
              <w:keepNext w:val="0"/>
              <w:keepLines w:val="0"/>
              <w:suppressLineNumbers w:val="0"/>
              <w:spacing w:before="0" w:beforeAutospacing="0" w:after="0" w:afterAutospacing="0"/>
              <w:ind w:left="0" w:right="0"/>
              <w:rPr>
                <w:rFonts w:hint="eastAsia" w:ascii="仿宋_GB2312" w:hAnsi="仿宋_GB2312" w:eastAsia="仿宋_GB2312" w:cs="仿宋_GB2312"/>
                <w:b/>
                <w:color w:val="000000" w:themeColor="text1"/>
                <w:kern w:val="0"/>
                <w:sz w:val="21"/>
                <w:szCs w:val="21"/>
                <w14:textFill>
                  <w14:solidFill>
                    <w14:schemeClr w14:val="tx1"/>
                  </w14:solidFill>
                </w14:textFill>
              </w:rPr>
            </w:pPr>
          </w:p>
        </w:tc>
      </w:tr>
      <w:tr w14:paraId="3059D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44C7F0EA">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5D8F44E4">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269653D9">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63FD1FDC">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74D18ADA">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6F4555BD">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476A9D96">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6A9638E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215CE73D">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3202SZ104000</w:t>
            </w:r>
          </w:p>
        </w:tc>
        <w:tc>
          <w:tcPr>
            <w:tcW w:w="1282" w:type="dxa"/>
            <w:tcBorders>
              <w:tl2br w:val="nil"/>
              <w:tr2bl w:val="nil"/>
            </w:tcBorders>
            <w:shd w:val="clear" w:color="auto" w:fill="auto"/>
            <w:vAlign w:val="center"/>
          </w:tcPr>
          <w:p w14:paraId="786D1DD0">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对涉及国有土地上的房屋的出租人将属于违法建筑的或不符合安全、防灾等工程建设强制性标准的房屋出租用于居住的处罚</w:t>
            </w:r>
          </w:p>
        </w:tc>
        <w:tc>
          <w:tcPr>
            <w:tcW w:w="1016" w:type="dxa"/>
            <w:tcBorders>
              <w:tl2br w:val="nil"/>
              <w:tr2bl w:val="nil"/>
            </w:tcBorders>
            <w:vAlign w:val="center"/>
          </w:tcPr>
          <w:p w14:paraId="2962D37A">
            <w:pPr>
              <w:keepNext w:val="0"/>
              <w:keepLines w:val="0"/>
              <w:suppressLineNumbers w:val="0"/>
              <w:spacing w:before="0" w:beforeAutospacing="0" w:after="0" w:afterAutospacing="0"/>
              <w:ind w:left="0" w:right="0"/>
              <w:rPr>
                <w:rFonts w:hint="eastAsia" w:ascii="仿宋_GB2312" w:hAnsi="仿宋_GB2312" w:eastAsia="仿宋_GB2312" w:cs="仿宋_GB2312"/>
                <w:b/>
                <w:color w:val="000000" w:themeColor="text1"/>
                <w:kern w:val="0"/>
                <w:sz w:val="21"/>
                <w:szCs w:val="21"/>
                <w14:textFill>
                  <w14:solidFill>
                    <w14:schemeClr w14:val="tx1"/>
                  </w14:solidFill>
                </w14:textFill>
              </w:rPr>
            </w:pPr>
          </w:p>
        </w:tc>
      </w:tr>
      <w:tr w14:paraId="2158A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14262FDE">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463E0E5F">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48D9B887">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71FF8901">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510E86D1">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35BEFD78">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62A5FF08">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13318FEC">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4D05FC4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3202SZ105000</w:t>
            </w:r>
          </w:p>
        </w:tc>
        <w:tc>
          <w:tcPr>
            <w:tcW w:w="1282" w:type="dxa"/>
            <w:tcBorders>
              <w:tl2br w:val="nil"/>
              <w:tr2bl w:val="nil"/>
            </w:tcBorders>
            <w:shd w:val="clear" w:color="auto" w:fill="auto"/>
            <w:vAlign w:val="center"/>
          </w:tcPr>
          <w:p w14:paraId="015BA7F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对涉及国有土地上的房屋的出租人将经依法鉴定属于危险房屋不能用于居住的房屋出租用于居住的处罚</w:t>
            </w:r>
          </w:p>
        </w:tc>
        <w:tc>
          <w:tcPr>
            <w:tcW w:w="1016" w:type="dxa"/>
            <w:tcBorders>
              <w:tl2br w:val="nil"/>
              <w:tr2bl w:val="nil"/>
            </w:tcBorders>
            <w:vAlign w:val="center"/>
          </w:tcPr>
          <w:p w14:paraId="445DF29C">
            <w:pPr>
              <w:keepNext w:val="0"/>
              <w:keepLines w:val="0"/>
              <w:suppressLineNumbers w:val="0"/>
              <w:spacing w:before="0" w:beforeAutospacing="0" w:after="0" w:afterAutospacing="0"/>
              <w:ind w:left="0" w:right="0"/>
              <w:rPr>
                <w:rFonts w:hint="eastAsia" w:ascii="仿宋_GB2312" w:hAnsi="仿宋_GB2312" w:eastAsia="仿宋_GB2312" w:cs="仿宋_GB2312"/>
                <w:b/>
                <w:color w:val="000000" w:themeColor="text1"/>
                <w:kern w:val="0"/>
                <w:sz w:val="21"/>
                <w:szCs w:val="21"/>
                <w14:textFill>
                  <w14:solidFill>
                    <w14:schemeClr w14:val="tx1"/>
                  </w14:solidFill>
                </w14:textFill>
              </w:rPr>
            </w:pPr>
          </w:p>
        </w:tc>
      </w:tr>
      <w:tr w14:paraId="23B05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center"/>
          </w:tcPr>
          <w:p w14:paraId="628E6D3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324" w:type="dxa"/>
            <w:vMerge w:val="continue"/>
            <w:tcBorders>
              <w:tl2br w:val="nil"/>
              <w:tr2bl w:val="nil"/>
            </w:tcBorders>
            <w:vAlign w:val="center"/>
          </w:tcPr>
          <w:p w14:paraId="4B66DA95">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794" w:type="dxa"/>
            <w:vMerge w:val="continue"/>
            <w:tcBorders>
              <w:tl2br w:val="nil"/>
              <w:tr2bl w:val="nil"/>
            </w:tcBorders>
            <w:vAlign w:val="center"/>
          </w:tcPr>
          <w:p w14:paraId="583BEFDC">
            <w:pPr>
              <w:keepNext w:val="0"/>
              <w:keepLines w:val="0"/>
              <w:suppressLineNumbers w:val="0"/>
              <w:overflowPunct w:val="0"/>
              <w:autoSpaceDE w:val="0"/>
              <w:autoSpaceDN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872" w:type="dxa"/>
            <w:vMerge w:val="continue"/>
            <w:tcBorders>
              <w:tl2br w:val="nil"/>
              <w:tr2bl w:val="nil"/>
            </w:tcBorders>
            <w:vAlign w:val="center"/>
          </w:tcPr>
          <w:p w14:paraId="5CE4E2F1">
            <w:pPr>
              <w:keepNext w:val="0"/>
              <w:keepLines w:val="0"/>
              <w:suppressLineNumbers w:val="0"/>
              <w:overflowPunct w:val="0"/>
              <w:autoSpaceDE w:val="0"/>
              <w:autoSpaceDN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010" w:type="dxa"/>
            <w:vMerge w:val="continue"/>
            <w:tcBorders>
              <w:tl2br w:val="nil"/>
              <w:tr2bl w:val="nil"/>
            </w:tcBorders>
            <w:vAlign w:val="center"/>
          </w:tcPr>
          <w:p w14:paraId="217A1FFE">
            <w:pPr>
              <w:keepNext w:val="0"/>
              <w:keepLines w:val="0"/>
              <w:suppressLineNumbers w:val="0"/>
              <w:overflowPunct w:val="0"/>
              <w:autoSpaceDE w:val="0"/>
              <w:autoSpaceDN w:val="0"/>
              <w:spacing w:before="0" w:beforeAutospacing="0" w:after="0" w:afterAutospacing="0" w:line="320" w:lineRule="exact"/>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4922" w:type="dxa"/>
            <w:vMerge w:val="continue"/>
            <w:tcBorders>
              <w:tl2br w:val="nil"/>
              <w:tr2bl w:val="nil"/>
            </w:tcBorders>
            <w:shd w:val="clear" w:color="auto" w:fill="auto"/>
            <w:vAlign w:val="center"/>
          </w:tcPr>
          <w:p w14:paraId="35F24A41">
            <w:pPr>
              <w:keepNext w:val="0"/>
              <w:keepLines w:val="0"/>
              <w:suppressLineNumbers w:val="0"/>
              <w:spacing w:before="0" w:beforeAutospacing="0" w:after="0" w:afterAutospacing="0"/>
              <w:ind w:left="0" w:right="0" w:firstLine="420" w:firstLineChars="200"/>
              <w:jc w:val="left"/>
              <w:rPr>
                <w:rFonts w:hint="eastAsia" w:ascii="仿宋_GB2312" w:hAnsi="仿宋_GB2312" w:eastAsia="仿宋_GB2312" w:cs="仿宋_GB2312"/>
                <w:b w:val="0"/>
                <w:bCs w:val="0"/>
                <w:color w:val="000000" w:themeColor="text1"/>
                <w:sz w:val="21"/>
                <w:szCs w:val="21"/>
                <w14:textFill>
                  <w14:solidFill>
                    <w14:schemeClr w14:val="tx1"/>
                  </w14:solidFill>
                </w14:textFill>
              </w:rPr>
            </w:pPr>
          </w:p>
        </w:tc>
        <w:tc>
          <w:tcPr>
            <w:tcW w:w="926" w:type="dxa"/>
            <w:vMerge w:val="continue"/>
            <w:tcBorders>
              <w:tl2br w:val="nil"/>
              <w:tr2bl w:val="nil"/>
            </w:tcBorders>
            <w:vAlign w:val="center"/>
          </w:tcPr>
          <w:p w14:paraId="1E875E37">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104" w:type="dxa"/>
            <w:vMerge w:val="continue"/>
            <w:tcBorders>
              <w:tl2br w:val="nil"/>
              <w:tr2bl w:val="nil"/>
            </w:tcBorders>
            <w:vAlign w:val="center"/>
          </w:tcPr>
          <w:p w14:paraId="4388687F">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14:textFill>
                  <w14:solidFill>
                    <w14:schemeClr w14:val="tx1"/>
                  </w14:solidFill>
                </w14:textFill>
              </w:rPr>
            </w:pPr>
          </w:p>
        </w:tc>
        <w:tc>
          <w:tcPr>
            <w:tcW w:w="1296" w:type="dxa"/>
            <w:tcBorders>
              <w:tl2br w:val="nil"/>
              <w:tr2bl w:val="nil"/>
            </w:tcBorders>
            <w:vAlign w:val="center"/>
          </w:tcPr>
          <w:p w14:paraId="119144F1">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3202SZ106000</w:t>
            </w:r>
          </w:p>
        </w:tc>
        <w:tc>
          <w:tcPr>
            <w:tcW w:w="1282" w:type="dxa"/>
            <w:tcBorders>
              <w:tl2br w:val="nil"/>
              <w:tr2bl w:val="nil"/>
            </w:tcBorders>
            <w:shd w:val="clear" w:color="auto" w:fill="auto"/>
            <w:vAlign w:val="center"/>
          </w:tcPr>
          <w:p w14:paraId="4DBA72D3">
            <w:pPr>
              <w:keepNext w:val="0"/>
              <w:keepLines w:val="0"/>
              <w:suppressLineNumbers w:val="0"/>
              <w:spacing w:before="0" w:beforeAutospacing="0" w:after="0" w:afterAutospacing="0"/>
              <w:ind w:left="0" w:right="0"/>
              <w:jc w:val="left"/>
              <w:rPr>
                <w:rFonts w:hint="eastAsia" w:ascii="仿宋_GB2312" w:hAnsi="仿宋_GB2312" w:eastAsia="仿宋_GB2312" w:cs="仿宋_GB2312"/>
                <w:b w:val="0"/>
                <w:bCs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u w:val="none"/>
                <w14:textFill>
                  <w14:solidFill>
                    <w14:schemeClr w14:val="tx1"/>
                  </w14:solidFill>
                </w14:textFill>
              </w:rPr>
              <w:t>对涉及国有土地上的房屋的出租人不满足出租房屋总体要求或使用面积、人数要求将房屋出租用于居住的处罚</w:t>
            </w:r>
          </w:p>
        </w:tc>
        <w:tc>
          <w:tcPr>
            <w:tcW w:w="1016" w:type="dxa"/>
            <w:tcBorders>
              <w:tl2br w:val="nil"/>
              <w:tr2bl w:val="nil"/>
            </w:tcBorders>
            <w:vAlign w:val="center"/>
          </w:tcPr>
          <w:p w14:paraId="0EFC59A5">
            <w:pPr>
              <w:keepNext w:val="0"/>
              <w:keepLines w:val="0"/>
              <w:suppressLineNumbers w:val="0"/>
              <w:spacing w:before="0" w:beforeAutospacing="0" w:after="0" w:afterAutospacing="0"/>
              <w:ind w:left="0" w:right="0"/>
              <w:rPr>
                <w:rFonts w:hint="eastAsia" w:ascii="仿宋_GB2312" w:hAnsi="仿宋_GB2312" w:eastAsia="仿宋_GB2312" w:cs="仿宋_GB2312"/>
                <w:b/>
                <w:color w:val="000000" w:themeColor="text1"/>
                <w:kern w:val="0"/>
                <w:sz w:val="21"/>
                <w:szCs w:val="21"/>
                <w14:textFill>
                  <w14:solidFill>
                    <w14:schemeClr w14:val="tx1"/>
                  </w14:solidFill>
                </w14:textFill>
              </w:rPr>
            </w:pPr>
          </w:p>
        </w:tc>
      </w:tr>
      <w:tr w14:paraId="5F54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restart"/>
            <w:tcBorders>
              <w:tl2br w:val="nil"/>
              <w:tr2bl w:val="nil"/>
            </w:tcBorders>
            <w:vAlign w:val="top"/>
          </w:tcPr>
          <w:p w14:paraId="2EA21AD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22</w:t>
            </w:r>
          </w:p>
        </w:tc>
        <w:tc>
          <w:tcPr>
            <w:tcW w:w="1324" w:type="dxa"/>
            <w:vMerge w:val="restart"/>
            <w:tcBorders>
              <w:tl2br w:val="nil"/>
              <w:tr2bl w:val="nil"/>
            </w:tcBorders>
            <w:vAlign w:val="center"/>
          </w:tcPr>
          <w:p w14:paraId="25575F2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对建设工程项目勘察、设计、施工、监理及与工程建设有关的重要设备、材料采购的招标投标活动的行政监督和对招标代理机构的行政检查</w:t>
            </w:r>
          </w:p>
        </w:tc>
        <w:tc>
          <w:tcPr>
            <w:tcW w:w="794" w:type="dxa"/>
            <w:vMerge w:val="restart"/>
            <w:tcBorders>
              <w:tl2br w:val="nil"/>
              <w:tr2bl w:val="nil"/>
            </w:tcBorders>
            <w:vAlign w:val="center"/>
          </w:tcPr>
          <w:p w14:paraId="2FD0BD3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苏州市吴中区住建局</w:t>
            </w:r>
          </w:p>
        </w:tc>
        <w:tc>
          <w:tcPr>
            <w:tcW w:w="872" w:type="dxa"/>
            <w:vMerge w:val="restart"/>
            <w:tcBorders>
              <w:tl2br w:val="nil"/>
              <w:tr2bl w:val="nil"/>
            </w:tcBorders>
            <w:vAlign w:val="center"/>
          </w:tcPr>
          <w:p w14:paraId="47E2CAD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苏州市吴中区建设工程招标投标中心</w:t>
            </w:r>
          </w:p>
        </w:tc>
        <w:tc>
          <w:tcPr>
            <w:tcW w:w="1010" w:type="dxa"/>
            <w:vMerge w:val="restart"/>
            <w:tcBorders>
              <w:tl2br w:val="nil"/>
              <w:tr2bl w:val="nil"/>
            </w:tcBorders>
            <w:vAlign w:val="center"/>
          </w:tcPr>
          <w:p w14:paraId="75CBFBF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招标人</w:t>
            </w:r>
          </w:p>
          <w:p w14:paraId="112EA5A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招标代理机构</w:t>
            </w:r>
          </w:p>
          <w:p w14:paraId="5C5F693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投标人</w:t>
            </w:r>
          </w:p>
          <w:p w14:paraId="7A00E18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中标人</w:t>
            </w:r>
          </w:p>
          <w:p w14:paraId="206E8E2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评标委员会</w:t>
            </w:r>
          </w:p>
          <w:p w14:paraId="4229493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电子招标投标交易系统的开发建设或者运营机构</w:t>
            </w:r>
          </w:p>
          <w:p w14:paraId="11CBF49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14:textFill>
                  <w14:solidFill>
                    <w14:schemeClr w14:val="tx1"/>
                  </w14:solidFill>
                </w14:textFill>
              </w:rPr>
            </w:pPr>
          </w:p>
          <w:p w14:paraId="02F9FD3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restart"/>
            <w:tcBorders>
              <w:tl2br w:val="nil"/>
              <w:tr2bl w:val="nil"/>
            </w:tcBorders>
            <w:shd w:val="clear" w:color="auto" w:fill="auto"/>
            <w:vAlign w:val="center"/>
          </w:tcPr>
          <w:p w14:paraId="4642DF4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【法规】《中华人民共和国招标投标法》第七条  招标投标活动及其当事人应当接受依法实施的监督。有关行政监督部门依法对招标投标活动实施监督，依法查处招标投标活动中的违法行为。对招标投标活动的行政监督及有关部门的具体职权划分，由国务院规定。</w:t>
            </w:r>
          </w:p>
          <w:p w14:paraId="3B88301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【法规】《中华人民共和国招标投标法实施条例》第四条  国务院发展改革部门指导和协调全国招标投标工作，对国家重大建设项目的工程招标投标活动实施监督检查。国务院工业和信息化、住房城乡建设、交通运输、铁道、水利、商务等部门，按照规定的职责分工对有关招标投标活动实施监督。县级以上地方人民政府发展改革部门指导和协调本行政区域的招标投标工作。县级以上地方人民政府有关部门按照规定的职责分工，对招标投标活动实施监督，依法查处招标投标活动中的违法行为。县级以上地方人民政府对其所属部门有关招标投标活动的监督职责分工另有规定的，从其规定。</w:t>
            </w:r>
          </w:p>
          <w:p w14:paraId="4BFDD50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【法规】《中华人民共和国招标投标法实施条例》第十一条  国务院住房城乡建设、商务、发展改革、工业和信息化等部门，按照规定的职责分工对招标代理机构依法实施监督管理。</w:t>
            </w:r>
          </w:p>
          <w:p w14:paraId="095CFB3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【文件】《住房城乡建设部办公厅关于取消工程建设项目招标代理机构资格认定加强事中事后监管的通知》 各级住房城乡建设主管部门要高度重视招标代理机构资格认定取消后的事中事后监管工作，完善工作机制，创新监管手段，加强工程建设项目招标投标活动监管，依法严肃查处违法违规行为，促进招投标活动有序开展。</w:t>
            </w:r>
          </w:p>
        </w:tc>
        <w:tc>
          <w:tcPr>
            <w:tcW w:w="926" w:type="dxa"/>
            <w:vMerge w:val="restart"/>
            <w:tcBorders>
              <w:tl2br w:val="nil"/>
              <w:tr2bl w:val="nil"/>
            </w:tcBorders>
            <w:vAlign w:val="center"/>
          </w:tcPr>
          <w:p w14:paraId="14BB4953">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现场</w:t>
            </w:r>
          </w:p>
          <w:p w14:paraId="0F3DA60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检查</w:t>
            </w:r>
          </w:p>
        </w:tc>
        <w:tc>
          <w:tcPr>
            <w:tcW w:w="1104" w:type="dxa"/>
            <w:vMerge w:val="restart"/>
            <w:tcBorders>
              <w:tl2br w:val="nil"/>
              <w:tr2bl w:val="nil"/>
            </w:tcBorders>
            <w:vAlign w:val="center"/>
          </w:tcPr>
          <w:p w14:paraId="79E23D5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双随机检查，对招标代理机构的行政检查与招投标检查合并进行，</w:t>
            </w:r>
          </w:p>
          <w:p w14:paraId="6DE603E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2次/年</w:t>
            </w:r>
          </w:p>
        </w:tc>
        <w:tc>
          <w:tcPr>
            <w:tcW w:w="1296" w:type="dxa"/>
            <w:tcBorders>
              <w:tl2br w:val="nil"/>
              <w:tr2bl w:val="nil"/>
            </w:tcBorders>
            <w:vAlign w:val="center"/>
          </w:tcPr>
          <w:p w14:paraId="7767944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 xml:space="preserve">321017054000 </w:t>
            </w:r>
          </w:p>
        </w:tc>
        <w:tc>
          <w:tcPr>
            <w:tcW w:w="1282" w:type="dxa"/>
            <w:tcBorders>
              <w:tl2br w:val="nil"/>
              <w:tr2bl w:val="nil"/>
            </w:tcBorders>
            <w:shd w:val="clear" w:color="auto" w:fill="auto"/>
            <w:vAlign w:val="center"/>
          </w:tcPr>
          <w:p w14:paraId="773DA99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t>招标文件备案</w:t>
            </w:r>
          </w:p>
        </w:tc>
        <w:tc>
          <w:tcPr>
            <w:tcW w:w="1016" w:type="dxa"/>
            <w:tcBorders>
              <w:tl2br w:val="nil"/>
              <w:tr2bl w:val="nil"/>
            </w:tcBorders>
            <w:vAlign w:val="top"/>
          </w:tcPr>
          <w:p w14:paraId="078896D3">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298E1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7BC6A98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658C624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13A0C5A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0AFE5AA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0E0F46A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30B4CE8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0961F91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6D2F49C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19BA4AE7">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 xml:space="preserve">320217832000 </w:t>
            </w:r>
          </w:p>
        </w:tc>
        <w:tc>
          <w:tcPr>
            <w:tcW w:w="1282" w:type="dxa"/>
            <w:tcBorders>
              <w:tl2br w:val="nil"/>
              <w:tr2bl w:val="nil"/>
            </w:tcBorders>
            <w:shd w:val="clear" w:color="auto" w:fill="auto"/>
            <w:vAlign w:val="center"/>
          </w:tcPr>
          <w:p w14:paraId="6AAF10E4">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对电子招标投标交易系统运营机构未保存电子档案，电子档案保存时间少于十五年，或者拒绝为招标人查询、获取档案提供便利的处罚</w:t>
            </w:r>
          </w:p>
        </w:tc>
        <w:tc>
          <w:tcPr>
            <w:tcW w:w="1016" w:type="dxa"/>
            <w:tcBorders>
              <w:tl2br w:val="nil"/>
              <w:tr2bl w:val="nil"/>
            </w:tcBorders>
            <w:vAlign w:val="top"/>
          </w:tcPr>
          <w:p w14:paraId="1733EE5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35FF3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5F472AE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599F2303">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6436D20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64F70B9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4600642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2B763E9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6B17EA6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46E7F8F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069DB2B6">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320217831000</w:t>
            </w:r>
          </w:p>
        </w:tc>
        <w:tc>
          <w:tcPr>
            <w:tcW w:w="1282" w:type="dxa"/>
            <w:tcBorders>
              <w:tl2br w:val="nil"/>
              <w:tr2bl w:val="nil"/>
            </w:tcBorders>
            <w:shd w:val="clear" w:color="auto" w:fill="auto"/>
            <w:vAlign w:val="center"/>
          </w:tcPr>
          <w:p w14:paraId="6C2E707D">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对招标代理机构接受招标人违法的委托内容和要求，或者在招标活动中弄虚作假的处罚</w:t>
            </w:r>
          </w:p>
        </w:tc>
        <w:tc>
          <w:tcPr>
            <w:tcW w:w="1016" w:type="dxa"/>
            <w:tcBorders>
              <w:tl2br w:val="nil"/>
              <w:tr2bl w:val="nil"/>
            </w:tcBorders>
            <w:vAlign w:val="top"/>
          </w:tcPr>
          <w:p w14:paraId="7EC1CD3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285AF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43FFB9A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3623488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075F64E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5293F78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32A60A6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14F53CB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0569A6E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634B6653">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2B9CB6CE">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 xml:space="preserve">320217830000 </w:t>
            </w:r>
          </w:p>
        </w:tc>
        <w:tc>
          <w:tcPr>
            <w:tcW w:w="1282" w:type="dxa"/>
            <w:tcBorders>
              <w:tl2br w:val="nil"/>
              <w:tr2bl w:val="nil"/>
            </w:tcBorders>
            <w:shd w:val="clear" w:color="auto" w:fill="auto"/>
            <w:vAlign w:val="center"/>
          </w:tcPr>
          <w:p w14:paraId="27A6212C">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对招标人、投标人、招标代理机构、电子招标投标交易系统的开发建设或者运营机构拒绝依法实施的监督检查，或者在监督检查中提供虚假情况的处罚</w:t>
            </w:r>
          </w:p>
        </w:tc>
        <w:tc>
          <w:tcPr>
            <w:tcW w:w="1016" w:type="dxa"/>
            <w:tcBorders>
              <w:tl2br w:val="nil"/>
              <w:tr2bl w:val="nil"/>
            </w:tcBorders>
            <w:vAlign w:val="top"/>
          </w:tcPr>
          <w:p w14:paraId="5585B0E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03EC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66E1EAB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4ECD4DD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6778475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0BD8058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0E82B1B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0A096D8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7D8C076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4371E13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34829337">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 xml:space="preserve">320217716000 </w:t>
            </w:r>
          </w:p>
        </w:tc>
        <w:tc>
          <w:tcPr>
            <w:tcW w:w="1282" w:type="dxa"/>
            <w:tcBorders>
              <w:tl2br w:val="nil"/>
              <w:tr2bl w:val="nil"/>
            </w:tcBorders>
            <w:shd w:val="clear" w:color="auto" w:fill="auto"/>
            <w:vAlign w:val="center"/>
          </w:tcPr>
          <w:p w14:paraId="0CC5C1A5">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对建设单位未按照本规定在招标文件中列出危大工程清单的处罚</w:t>
            </w:r>
          </w:p>
        </w:tc>
        <w:tc>
          <w:tcPr>
            <w:tcW w:w="1016" w:type="dxa"/>
            <w:tcBorders>
              <w:tl2br w:val="nil"/>
              <w:tr2bl w:val="nil"/>
            </w:tcBorders>
            <w:vAlign w:val="top"/>
          </w:tcPr>
          <w:p w14:paraId="25A9FFA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51D3E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3DAA64B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78092AA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56FA269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0F63100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187A9C7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0455198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4C5A239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1183949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4D0D05AE">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 xml:space="preserve">320217700000 </w:t>
            </w:r>
          </w:p>
        </w:tc>
        <w:tc>
          <w:tcPr>
            <w:tcW w:w="1282" w:type="dxa"/>
            <w:tcBorders>
              <w:tl2br w:val="nil"/>
              <w:tr2bl w:val="nil"/>
            </w:tcBorders>
            <w:shd w:val="clear" w:color="auto" w:fill="auto"/>
            <w:vAlign w:val="center"/>
          </w:tcPr>
          <w:p w14:paraId="763D96E5">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对依法必须进行招标的项目的招标人不按照规定组建评标委员会，或者确定、更换评标委员会成员违反招标投标法和招标投标法实施条例规定的处罚</w:t>
            </w:r>
          </w:p>
        </w:tc>
        <w:tc>
          <w:tcPr>
            <w:tcW w:w="1016" w:type="dxa"/>
            <w:tcBorders>
              <w:tl2br w:val="nil"/>
              <w:tr2bl w:val="nil"/>
            </w:tcBorders>
            <w:vAlign w:val="top"/>
          </w:tcPr>
          <w:p w14:paraId="45A85EE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03134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7082464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0116870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40547FC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31DBDC6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0146D5F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65517AC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5804F8E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6497013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top"/>
          </w:tcPr>
          <w:p w14:paraId="5BCCC688">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 xml:space="preserve">320217695000 </w:t>
            </w:r>
          </w:p>
        </w:tc>
        <w:tc>
          <w:tcPr>
            <w:tcW w:w="1282" w:type="dxa"/>
            <w:tcBorders>
              <w:tl2br w:val="nil"/>
              <w:tr2bl w:val="nil"/>
            </w:tcBorders>
            <w:shd w:val="clear" w:color="auto" w:fill="auto"/>
            <w:vAlign w:val="top"/>
          </w:tcPr>
          <w:p w14:paraId="1B22CC3D">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对投标人相互串通投标或者与招标人串通投标的，投标人以向招标人或者评标委员会成员行贿的手段谋取中标的处罚</w:t>
            </w:r>
          </w:p>
        </w:tc>
        <w:tc>
          <w:tcPr>
            <w:tcW w:w="1016" w:type="dxa"/>
            <w:tcBorders>
              <w:tl2br w:val="nil"/>
              <w:tr2bl w:val="nil"/>
            </w:tcBorders>
            <w:vAlign w:val="top"/>
          </w:tcPr>
          <w:p w14:paraId="0849359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6D5AC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723F407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0E766C4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123B696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0276F7F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14036583">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3F1F7F0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36B52E5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54C1EAF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2E88D36F">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320217673000</w:t>
            </w:r>
          </w:p>
        </w:tc>
        <w:tc>
          <w:tcPr>
            <w:tcW w:w="1282" w:type="dxa"/>
            <w:tcBorders>
              <w:tl2br w:val="nil"/>
              <w:tr2bl w:val="nil"/>
            </w:tcBorders>
            <w:shd w:val="clear" w:color="auto" w:fill="auto"/>
            <w:vAlign w:val="center"/>
          </w:tcPr>
          <w:p w14:paraId="18B854EF">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对招标人与中标人不按照招标文件和中标人的投标文件订立合同的，合同的主要条款与招标文件、中标人的投标文件内容不一致，或者招标人、中标人订立背离合同实质性内容的协议的处罚</w:t>
            </w:r>
          </w:p>
        </w:tc>
        <w:tc>
          <w:tcPr>
            <w:tcW w:w="1016" w:type="dxa"/>
            <w:tcBorders>
              <w:tl2br w:val="nil"/>
              <w:tr2bl w:val="nil"/>
            </w:tcBorders>
            <w:vAlign w:val="top"/>
          </w:tcPr>
          <w:p w14:paraId="7BED7603">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644A3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4CF3142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5D97D29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4C891343">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17F11E9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5909485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6454161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6D8D907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0790A0B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50A868F2">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320217645000</w:t>
            </w:r>
          </w:p>
        </w:tc>
        <w:tc>
          <w:tcPr>
            <w:tcW w:w="1282" w:type="dxa"/>
            <w:tcBorders>
              <w:tl2br w:val="nil"/>
              <w:tr2bl w:val="nil"/>
            </w:tcBorders>
            <w:shd w:val="clear" w:color="auto" w:fill="auto"/>
            <w:vAlign w:val="center"/>
          </w:tcPr>
          <w:p w14:paraId="495119FD">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对工程建设项目勘察设计招标人与中标人不按照招标文件和中标人的投标文件订立合同的处罚</w:t>
            </w:r>
          </w:p>
        </w:tc>
        <w:tc>
          <w:tcPr>
            <w:tcW w:w="1016" w:type="dxa"/>
            <w:tcBorders>
              <w:tl2br w:val="nil"/>
              <w:tr2bl w:val="nil"/>
            </w:tcBorders>
            <w:vAlign w:val="top"/>
          </w:tcPr>
          <w:p w14:paraId="20AE95C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4AC79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222A0D3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41710EF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472C7F1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28DD411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39BB62D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46B1555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64D95EB3">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1F29A41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71B224EB">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320217640000</w:t>
            </w:r>
          </w:p>
        </w:tc>
        <w:tc>
          <w:tcPr>
            <w:tcW w:w="1282" w:type="dxa"/>
            <w:tcBorders>
              <w:tl2br w:val="nil"/>
              <w:tr2bl w:val="nil"/>
            </w:tcBorders>
            <w:shd w:val="clear" w:color="auto" w:fill="auto"/>
            <w:vAlign w:val="center"/>
          </w:tcPr>
          <w:p w14:paraId="1F394550">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对招标人接受应当拒收的投标文件的处罚</w:t>
            </w:r>
          </w:p>
        </w:tc>
        <w:tc>
          <w:tcPr>
            <w:tcW w:w="1016" w:type="dxa"/>
            <w:tcBorders>
              <w:tl2br w:val="nil"/>
              <w:tr2bl w:val="nil"/>
            </w:tcBorders>
            <w:vAlign w:val="top"/>
          </w:tcPr>
          <w:p w14:paraId="421205B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3C8B6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4DB7BC4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4864FBD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16B14C1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5221B86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1CFD196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0824DEC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3D33A31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7F5A76E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22A8F9CC">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320217620000</w:t>
            </w:r>
          </w:p>
        </w:tc>
        <w:tc>
          <w:tcPr>
            <w:tcW w:w="1282" w:type="dxa"/>
            <w:tcBorders>
              <w:tl2br w:val="nil"/>
              <w:tr2bl w:val="nil"/>
            </w:tcBorders>
            <w:shd w:val="clear" w:color="auto" w:fill="auto"/>
            <w:vAlign w:val="center"/>
          </w:tcPr>
          <w:p w14:paraId="76D50033">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对招标人无正当理由不发出中标通知书，不按规定期限确定中标人，或者中标通知书发出后改变中标结果，不与中标人签订合同，或者在签订合同时向中标人提出附加条件的处罚</w:t>
            </w:r>
          </w:p>
        </w:tc>
        <w:tc>
          <w:tcPr>
            <w:tcW w:w="1016" w:type="dxa"/>
            <w:tcBorders>
              <w:tl2br w:val="nil"/>
              <w:tr2bl w:val="nil"/>
            </w:tcBorders>
            <w:vAlign w:val="top"/>
          </w:tcPr>
          <w:p w14:paraId="64EA7C2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0BA78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482D9C8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240050F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61ECF15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6EFD6AF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60576D0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28F5A00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38EE645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643ECB9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5D5B6111">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320217610000</w:t>
            </w:r>
          </w:p>
        </w:tc>
        <w:tc>
          <w:tcPr>
            <w:tcW w:w="1282" w:type="dxa"/>
            <w:tcBorders>
              <w:tl2br w:val="nil"/>
              <w:tr2bl w:val="nil"/>
            </w:tcBorders>
            <w:shd w:val="clear" w:color="auto" w:fill="auto"/>
            <w:vAlign w:val="center"/>
          </w:tcPr>
          <w:p w14:paraId="1E74DE00">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对招标人接受未通过资格预审的单位或者个人参加投标的处罚</w:t>
            </w:r>
          </w:p>
        </w:tc>
        <w:tc>
          <w:tcPr>
            <w:tcW w:w="1016" w:type="dxa"/>
            <w:tcBorders>
              <w:tl2br w:val="nil"/>
              <w:tr2bl w:val="nil"/>
            </w:tcBorders>
            <w:vAlign w:val="top"/>
          </w:tcPr>
          <w:p w14:paraId="07F570B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1CAC7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3B85E6C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26DE8AB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3548A56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18B4877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0B3D971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5B84174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53F02F4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0F5AF99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59FEDB64">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320217606000</w:t>
            </w:r>
          </w:p>
        </w:tc>
        <w:tc>
          <w:tcPr>
            <w:tcW w:w="1282" w:type="dxa"/>
            <w:tcBorders>
              <w:tl2br w:val="nil"/>
              <w:tr2bl w:val="nil"/>
            </w:tcBorders>
            <w:shd w:val="clear" w:color="auto" w:fill="auto"/>
            <w:vAlign w:val="center"/>
          </w:tcPr>
          <w:p w14:paraId="163ACC30">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对依法应当公开招标的项目不按照规定在指定媒介发布资格预审公告或者招标公告的处罚</w:t>
            </w:r>
          </w:p>
        </w:tc>
        <w:tc>
          <w:tcPr>
            <w:tcW w:w="1016" w:type="dxa"/>
            <w:tcBorders>
              <w:tl2br w:val="nil"/>
              <w:tr2bl w:val="nil"/>
            </w:tcBorders>
            <w:vAlign w:val="top"/>
          </w:tcPr>
          <w:p w14:paraId="3326451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1E13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5A9537F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5BB9DBD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2D162DC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09F9EB2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5C85352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5B4480C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6D7F82E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7616A87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0AF1FDFA">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320217599000</w:t>
            </w:r>
          </w:p>
        </w:tc>
        <w:tc>
          <w:tcPr>
            <w:tcW w:w="1282" w:type="dxa"/>
            <w:tcBorders>
              <w:tl2br w:val="nil"/>
              <w:tr2bl w:val="nil"/>
            </w:tcBorders>
            <w:shd w:val="clear" w:color="auto" w:fill="auto"/>
            <w:vAlign w:val="center"/>
          </w:tcPr>
          <w:p w14:paraId="6D553B15">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对招标文件、资格预审文件的发售、澄清、修改的时限，或者确定的提交资格预审申请文件、投标文件的时限不符合规定的处罚</w:t>
            </w:r>
          </w:p>
        </w:tc>
        <w:tc>
          <w:tcPr>
            <w:tcW w:w="1016" w:type="dxa"/>
            <w:tcBorders>
              <w:tl2br w:val="nil"/>
              <w:tr2bl w:val="nil"/>
            </w:tcBorders>
            <w:vAlign w:val="top"/>
          </w:tcPr>
          <w:p w14:paraId="3459366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70AB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452F744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2B2F74D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37ABCF7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014412E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0F7408A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5494000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6D3E999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2E3CC1F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667CA8FC">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320217579000</w:t>
            </w:r>
          </w:p>
        </w:tc>
        <w:tc>
          <w:tcPr>
            <w:tcW w:w="1282" w:type="dxa"/>
            <w:tcBorders>
              <w:tl2br w:val="nil"/>
              <w:tr2bl w:val="nil"/>
            </w:tcBorders>
            <w:shd w:val="clear" w:color="auto" w:fill="auto"/>
            <w:vAlign w:val="center"/>
          </w:tcPr>
          <w:p w14:paraId="4477B726">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对评标委员会成员收受投标人的财物或者其他好处的，评标委员会成员或者参加评标的有关工作人员向他人透露对投标文件的评审和比较、中标候选人的推荐以及与评标有关的其他情况的处罚</w:t>
            </w:r>
          </w:p>
        </w:tc>
        <w:tc>
          <w:tcPr>
            <w:tcW w:w="1016" w:type="dxa"/>
            <w:tcBorders>
              <w:tl2br w:val="nil"/>
              <w:tr2bl w:val="nil"/>
            </w:tcBorders>
            <w:vAlign w:val="top"/>
          </w:tcPr>
          <w:p w14:paraId="6FF7FD4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0F8A9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54C1E48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3668181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4505DB2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1CBF01A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1FD6549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1F6EEFA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6CEFA97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5D3502C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72701B64">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320217572000</w:t>
            </w:r>
          </w:p>
        </w:tc>
        <w:tc>
          <w:tcPr>
            <w:tcW w:w="1282" w:type="dxa"/>
            <w:tcBorders>
              <w:tl2br w:val="nil"/>
              <w:tr2bl w:val="nil"/>
            </w:tcBorders>
            <w:shd w:val="clear" w:color="auto" w:fill="auto"/>
            <w:vAlign w:val="center"/>
          </w:tcPr>
          <w:p w14:paraId="2ED60498">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对在不同媒介发布的同一招标项目的资格预审公告或者招标公告的内容不一致，影响潜在投标人申请资格预审或者投标的处罚</w:t>
            </w:r>
          </w:p>
        </w:tc>
        <w:tc>
          <w:tcPr>
            <w:tcW w:w="1016" w:type="dxa"/>
            <w:tcBorders>
              <w:tl2br w:val="nil"/>
              <w:tr2bl w:val="nil"/>
            </w:tcBorders>
            <w:vAlign w:val="top"/>
          </w:tcPr>
          <w:p w14:paraId="341C75D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2F4C3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6" w:type="dxa"/>
            <w:vMerge w:val="continue"/>
            <w:tcBorders>
              <w:tl2br w:val="nil"/>
              <w:tr2bl w:val="nil"/>
            </w:tcBorders>
            <w:vAlign w:val="top"/>
          </w:tcPr>
          <w:p w14:paraId="3A45857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7842167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6870145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7F8171E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3AA4E08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174CEED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786593D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60F22C7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73CF7547">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320217551000</w:t>
            </w:r>
          </w:p>
        </w:tc>
        <w:tc>
          <w:tcPr>
            <w:tcW w:w="1282" w:type="dxa"/>
            <w:tcBorders>
              <w:tl2br w:val="nil"/>
              <w:tr2bl w:val="nil"/>
            </w:tcBorders>
            <w:shd w:val="clear" w:color="auto" w:fill="auto"/>
            <w:vAlign w:val="center"/>
          </w:tcPr>
          <w:p w14:paraId="68965D0A">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对招标人在评标委员会依法推荐的中标候选人以外确定中标人的，依法必须进行招标的项目在所有投标被评标委员会否决后自行确定中标人的处罚</w:t>
            </w:r>
          </w:p>
        </w:tc>
        <w:tc>
          <w:tcPr>
            <w:tcW w:w="1016" w:type="dxa"/>
            <w:tcBorders>
              <w:tl2br w:val="nil"/>
              <w:tr2bl w:val="nil"/>
            </w:tcBorders>
            <w:vAlign w:val="top"/>
          </w:tcPr>
          <w:p w14:paraId="1304B6D3">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5185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48A6DE4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40D0AFD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2086FBA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7FE3F58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10235BB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1C22A8D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72272E5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6B42243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1C34B215">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320217550000</w:t>
            </w:r>
          </w:p>
        </w:tc>
        <w:tc>
          <w:tcPr>
            <w:tcW w:w="1282" w:type="dxa"/>
            <w:tcBorders>
              <w:tl2br w:val="nil"/>
              <w:tr2bl w:val="nil"/>
            </w:tcBorders>
            <w:shd w:val="clear" w:color="auto" w:fill="auto"/>
            <w:vAlign w:val="center"/>
          </w:tcPr>
          <w:p w14:paraId="00447F0C">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对招标人超过本条例规定的比例收取投标保证金、履约保证金或者不按照规定退还投标保证金及银行同期存款利息的处罚</w:t>
            </w:r>
          </w:p>
        </w:tc>
        <w:tc>
          <w:tcPr>
            <w:tcW w:w="1016" w:type="dxa"/>
            <w:tcBorders>
              <w:tl2br w:val="nil"/>
              <w:tr2bl w:val="nil"/>
            </w:tcBorders>
            <w:vAlign w:val="top"/>
          </w:tcPr>
          <w:p w14:paraId="49A78E8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7C77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14F75293">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2C69F91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6D3D3DC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2271594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5BD1299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72948D6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4ABC65C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1DE6E00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080867FB">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320217549000</w:t>
            </w:r>
          </w:p>
        </w:tc>
        <w:tc>
          <w:tcPr>
            <w:tcW w:w="1282" w:type="dxa"/>
            <w:tcBorders>
              <w:tl2br w:val="nil"/>
              <w:tr2bl w:val="nil"/>
            </w:tcBorders>
            <w:shd w:val="clear" w:color="auto" w:fill="auto"/>
            <w:vAlign w:val="center"/>
          </w:tcPr>
          <w:p w14:paraId="46815082">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对政府投资项目的招标人或其委托的招标代理机构不从依法组建的评标专家库中抽取专家的处罚</w:t>
            </w:r>
          </w:p>
        </w:tc>
        <w:tc>
          <w:tcPr>
            <w:tcW w:w="1016" w:type="dxa"/>
            <w:tcBorders>
              <w:tl2br w:val="nil"/>
              <w:tr2bl w:val="nil"/>
            </w:tcBorders>
            <w:vAlign w:val="top"/>
          </w:tcPr>
          <w:p w14:paraId="2F67AC5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6D53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21B3255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389D9F6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7A02DE6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2A31A02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0984F33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6DB411C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54DC660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2C40AB9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6FF0EFF4">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320217548000</w:t>
            </w:r>
          </w:p>
        </w:tc>
        <w:tc>
          <w:tcPr>
            <w:tcW w:w="1282" w:type="dxa"/>
            <w:tcBorders>
              <w:tl2br w:val="nil"/>
              <w:tr2bl w:val="nil"/>
            </w:tcBorders>
            <w:shd w:val="clear" w:color="auto" w:fill="auto"/>
            <w:vAlign w:val="center"/>
          </w:tcPr>
          <w:p w14:paraId="1E0BF4A1">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对邀请招标不依法发出投标邀请书的处罚</w:t>
            </w:r>
          </w:p>
        </w:tc>
        <w:tc>
          <w:tcPr>
            <w:tcW w:w="1016" w:type="dxa"/>
            <w:tcBorders>
              <w:tl2br w:val="nil"/>
              <w:tr2bl w:val="nil"/>
            </w:tcBorders>
            <w:vAlign w:val="top"/>
          </w:tcPr>
          <w:p w14:paraId="3D288CC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73CB4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65E65AB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07295A0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16297D4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3EDC944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25E0DEE3">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34E8BC8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58CADF0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7507D62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31B2BD1A">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320217545000</w:t>
            </w:r>
          </w:p>
        </w:tc>
        <w:tc>
          <w:tcPr>
            <w:tcW w:w="1282" w:type="dxa"/>
            <w:tcBorders>
              <w:tl2br w:val="nil"/>
              <w:tr2bl w:val="nil"/>
            </w:tcBorders>
            <w:shd w:val="clear" w:color="auto" w:fill="auto"/>
            <w:vAlign w:val="center"/>
          </w:tcPr>
          <w:p w14:paraId="3ACB94F8">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对招标人以不合理的条件限制或者排斥潜在投标人的，对潜在投标人实行歧视待遇的，强制要求投标人组成联合体共同投标的，或者限制投标人之间竞争的处罚</w:t>
            </w:r>
          </w:p>
        </w:tc>
        <w:tc>
          <w:tcPr>
            <w:tcW w:w="1016" w:type="dxa"/>
            <w:tcBorders>
              <w:tl2br w:val="nil"/>
              <w:tr2bl w:val="nil"/>
            </w:tcBorders>
            <w:vAlign w:val="top"/>
          </w:tcPr>
          <w:p w14:paraId="700CA0E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2CC8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43C6C4D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0AB470E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0301B6E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0377C1E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496045C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22FAE8F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5B781C8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340F68D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75A4EDF7">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320217509000</w:t>
            </w:r>
          </w:p>
        </w:tc>
        <w:tc>
          <w:tcPr>
            <w:tcW w:w="1282" w:type="dxa"/>
            <w:tcBorders>
              <w:tl2br w:val="nil"/>
              <w:tr2bl w:val="nil"/>
            </w:tcBorders>
            <w:shd w:val="clear" w:color="auto" w:fill="auto"/>
            <w:vAlign w:val="center"/>
          </w:tcPr>
          <w:p w14:paraId="05AB2B9A">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对依法必须进行招标的项目的招标人不按照规定发布资格预审公告或者招标公告构成规避招标的处罚</w:t>
            </w:r>
          </w:p>
        </w:tc>
        <w:tc>
          <w:tcPr>
            <w:tcW w:w="1016" w:type="dxa"/>
            <w:tcBorders>
              <w:tl2br w:val="nil"/>
              <w:tr2bl w:val="nil"/>
            </w:tcBorders>
            <w:vAlign w:val="top"/>
          </w:tcPr>
          <w:p w14:paraId="70B9EE3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6550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2685950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306FB603">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7846521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3F7728A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0B26FF7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204D008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76F1FB2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30C55A9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6DB9B059">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320217506000</w:t>
            </w:r>
          </w:p>
        </w:tc>
        <w:tc>
          <w:tcPr>
            <w:tcW w:w="1282" w:type="dxa"/>
            <w:tcBorders>
              <w:tl2br w:val="nil"/>
              <w:tr2bl w:val="nil"/>
            </w:tcBorders>
            <w:shd w:val="clear" w:color="auto" w:fill="auto"/>
            <w:vAlign w:val="center"/>
          </w:tcPr>
          <w:p w14:paraId="41DCE16B">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对招标人向他人透露已获取招标文件的潜在投标人的名称、数量或者可能影响公平竞争的有关招标投标的其他情况的，或者泄露标底的处罚</w:t>
            </w:r>
          </w:p>
        </w:tc>
        <w:tc>
          <w:tcPr>
            <w:tcW w:w="1016" w:type="dxa"/>
            <w:tcBorders>
              <w:tl2br w:val="nil"/>
              <w:tr2bl w:val="nil"/>
            </w:tcBorders>
            <w:vAlign w:val="top"/>
          </w:tcPr>
          <w:p w14:paraId="4883EB8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755F8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1810709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18C75E0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262235A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05A0579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2D354EA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70680A1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49EEA24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65F5CA6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660068B0">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320217475000</w:t>
            </w:r>
          </w:p>
        </w:tc>
        <w:tc>
          <w:tcPr>
            <w:tcW w:w="1282" w:type="dxa"/>
            <w:tcBorders>
              <w:tl2br w:val="nil"/>
              <w:tr2bl w:val="nil"/>
            </w:tcBorders>
            <w:shd w:val="clear" w:color="auto" w:fill="auto"/>
            <w:vAlign w:val="center"/>
          </w:tcPr>
          <w:p w14:paraId="68329645">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对中标人不按照与招标人订立的合同履行义务，情节严重的处罚</w:t>
            </w:r>
          </w:p>
        </w:tc>
        <w:tc>
          <w:tcPr>
            <w:tcW w:w="1016" w:type="dxa"/>
            <w:tcBorders>
              <w:tl2br w:val="nil"/>
              <w:tr2bl w:val="nil"/>
            </w:tcBorders>
            <w:vAlign w:val="top"/>
          </w:tcPr>
          <w:p w14:paraId="16EE2B1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231E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536" w:type="dxa"/>
            <w:vMerge w:val="continue"/>
            <w:tcBorders>
              <w:tl2br w:val="nil"/>
              <w:tr2bl w:val="nil"/>
            </w:tcBorders>
            <w:vAlign w:val="top"/>
          </w:tcPr>
          <w:p w14:paraId="346BCCB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38360B0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419FA4C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1EFE172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23C3144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06AC432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42AB8C7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3C6A744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4E2BDDE2">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320217400000</w:t>
            </w:r>
          </w:p>
        </w:tc>
        <w:tc>
          <w:tcPr>
            <w:tcW w:w="1282" w:type="dxa"/>
            <w:tcBorders>
              <w:tl2br w:val="nil"/>
              <w:tr2bl w:val="nil"/>
            </w:tcBorders>
            <w:shd w:val="clear" w:color="auto" w:fill="auto"/>
            <w:vAlign w:val="center"/>
          </w:tcPr>
          <w:p w14:paraId="53B6E0D0">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对招标人将必须进行招标的项目不招标的、将必须进行招标的项目化整为零或者以其他方式规避招标的处罚</w:t>
            </w:r>
          </w:p>
        </w:tc>
        <w:tc>
          <w:tcPr>
            <w:tcW w:w="1016" w:type="dxa"/>
            <w:tcBorders>
              <w:tl2br w:val="nil"/>
              <w:tr2bl w:val="nil"/>
            </w:tcBorders>
            <w:vAlign w:val="top"/>
          </w:tcPr>
          <w:p w14:paraId="3A71B0A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4FCA9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41206B3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2C8D9A4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435FA7A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069E5EB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62C9907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1E65BE23">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71B548C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2B7867F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6B58C4DF">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320217358000</w:t>
            </w:r>
          </w:p>
        </w:tc>
        <w:tc>
          <w:tcPr>
            <w:tcW w:w="1282" w:type="dxa"/>
            <w:tcBorders>
              <w:tl2br w:val="nil"/>
              <w:tr2bl w:val="nil"/>
            </w:tcBorders>
            <w:shd w:val="clear" w:color="auto" w:fill="auto"/>
            <w:vAlign w:val="center"/>
          </w:tcPr>
          <w:p w14:paraId="0CAB2C9D">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对依法必须进行招标的项目，招标人违法与投标人就投标价格、投标方案等实质性内容进行谈判的处罚</w:t>
            </w:r>
          </w:p>
        </w:tc>
        <w:tc>
          <w:tcPr>
            <w:tcW w:w="1016" w:type="dxa"/>
            <w:tcBorders>
              <w:tl2br w:val="nil"/>
              <w:tr2bl w:val="nil"/>
            </w:tcBorders>
            <w:vAlign w:val="top"/>
          </w:tcPr>
          <w:p w14:paraId="05AD11E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50056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6CD110B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2BC1BB9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09EE9AB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793C28C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015BB2E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3C32EC6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305C6C5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274345D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439E072A">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320217357000</w:t>
            </w:r>
          </w:p>
        </w:tc>
        <w:tc>
          <w:tcPr>
            <w:tcW w:w="1282" w:type="dxa"/>
            <w:tcBorders>
              <w:tl2br w:val="nil"/>
              <w:tr2bl w:val="nil"/>
            </w:tcBorders>
            <w:shd w:val="clear" w:color="auto" w:fill="auto"/>
            <w:vAlign w:val="center"/>
          </w:tcPr>
          <w:p w14:paraId="27F00AC0">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对投标人以他人名义投标或者以其他方式弄虚作假，骗取中标的处罚</w:t>
            </w:r>
          </w:p>
        </w:tc>
        <w:tc>
          <w:tcPr>
            <w:tcW w:w="1016" w:type="dxa"/>
            <w:tcBorders>
              <w:tl2br w:val="nil"/>
              <w:tr2bl w:val="nil"/>
            </w:tcBorders>
            <w:vAlign w:val="top"/>
          </w:tcPr>
          <w:p w14:paraId="72D4092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59621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6121CB8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5059BEF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3594F1F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1C02C4E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2A8068F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05CC45C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6DA415B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1DCA331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35D6CF80">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320217341000</w:t>
            </w:r>
          </w:p>
        </w:tc>
        <w:tc>
          <w:tcPr>
            <w:tcW w:w="1282" w:type="dxa"/>
            <w:tcBorders>
              <w:tl2br w:val="nil"/>
              <w:tr2bl w:val="nil"/>
            </w:tcBorders>
            <w:shd w:val="clear" w:color="auto" w:fill="auto"/>
            <w:vAlign w:val="center"/>
          </w:tcPr>
          <w:p w14:paraId="4723D019">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建设工程交易中心未制定章程和规则，未及时、准确地发布工程信息，采取歧视性的措施限制或者排斥符合条件的单位参加竞争，取代招标投标等管理机构的监督职能，取代招标人依法组织招标的权利，行使工程招标代理机构的职能等行为的处罚</w:t>
            </w:r>
          </w:p>
        </w:tc>
        <w:tc>
          <w:tcPr>
            <w:tcW w:w="1016" w:type="dxa"/>
            <w:tcBorders>
              <w:tl2br w:val="nil"/>
              <w:tr2bl w:val="nil"/>
            </w:tcBorders>
            <w:vAlign w:val="top"/>
          </w:tcPr>
          <w:p w14:paraId="4A120413">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2D5DF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375E846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101AFB3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26CE930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578689B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73FEB73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3B55C1C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6D4E539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54DF045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409545AA">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320217334000</w:t>
            </w:r>
          </w:p>
        </w:tc>
        <w:tc>
          <w:tcPr>
            <w:tcW w:w="1282" w:type="dxa"/>
            <w:tcBorders>
              <w:tl2br w:val="nil"/>
              <w:tr2bl w:val="nil"/>
            </w:tcBorders>
            <w:shd w:val="clear" w:color="auto" w:fill="auto"/>
            <w:vAlign w:val="center"/>
          </w:tcPr>
          <w:p w14:paraId="3B88111C">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对招标代理机构违法泄露应当保密的与招标投标活动有关的情况和资料的，或者与招标人、投标人串通损害国家利益、社会公共利益或者他人合法权益的处罚</w:t>
            </w:r>
          </w:p>
        </w:tc>
        <w:tc>
          <w:tcPr>
            <w:tcW w:w="1016" w:type="dxa"/>
            <w:tcBorders>
              <w:tl2br w:val="nil"/>
              <w:tr2bl w:val="nil"/>
            </w:tcBorders>
            <w:vAlign w:val="top"/>
          </w:tcPr>
          <w:p w14:paraId="50BC05F3">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5154E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634C770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25007DC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4F091CF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72732F0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1EF5FF0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11EA803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3EDA774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12C657F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63EA8A03">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320217305000</w:t>
            </w:r>
          </w:p>
        </w:tc>
        <w:tc>
          <w:tcPr>
            <w:tcW w:w="1282" w:type="dxa"/>
            <w:tcBorders>
              <w:tl2br w:val="nil"/>
              <w:tr2bl w:val="nil"/>
            </w:tcBorders>
            <w:shd w:val="clear" w:color="auto" w:fill="auto"/>
            <w:vAlign w:val="center"/>
          </w:tcPr>
          <w:p w14:paraId="5E97F813">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对招标人或其委托的招标代理机构在招标公告中有关获取招标文件的时限和办法的规定明显不合理的处罚</w:t>
            </w:r>
          </w:p>
        </w:tc>
        <w:tc>
          <w:tcPr>
            <w:tcW w:w="1016" w:type="dxa"/>
            <w:tcBorders>
              <w:tl2br w:val="nil"/>
              <w:tr2bl w:val="nil"/>
            </w:tcBorders>
            <w:vAlign w:val="top"/>
          </w:tcPr>
          <w:p w14:paraId="34854EB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69CDD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689C33E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7E71DE2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35502EA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77A971C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2D60155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415F47B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62BB2F9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785E18D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5889C413">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320217293000</w:t>
            </w:r>
          </w:p>
        </w:tc>
        <w:tc>
          <w:tcPr>
            <w:tcW w:w="1282" w:type="dxa"/>
            <w:tcBorders>
              <w:tl2br w:val="nil"/>
              <w:tr2bl w:val="nil"/>
            </w:tcBorders>
            <w:shd w:val="clear" w:color="auto" w:fill="auto"/>
            <w:vAlign w:val="center"/>
          </w:tcPr>
          <w:p w14:paraId="2867164F">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对依法应当公开招标而采用邀请招标的处罚</w:t>
            </w:r>
          </w:p>
        </w:tc>
        <w:tc>
          <w:tcPr>
            <w:tcW w:w="1016" w:type="dxa"/>
            <w:tcBorders>
              <w:tl2br w:val="nil"/>
              <w:tr2bl w:val="nil"/>
            </w:tcBorders>
            <w:vAlign w:val="top"/>
          </w:tcPr>
          <w:p w14:paraId="22E37433">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24497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3DF201A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43D2B72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1CDE681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56ACC05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63BB17E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373D583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0D1DE1D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6610266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18114939">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320217160000</w:t>
            </w:r>
          </w:p>
        </w:tc>
        <w:tc>
          <w:tcPr>
            <w:tcW w:w="1282" w:type="dxa"/>
            <w:tcBorders>
              <w:tl2br w:val="nil"/>
              <w:tr2bl w:val="nil"/>
            </w:tcBorders>
            <w:shd w:val="clear" w:color="auto" w:fill="auto"/>
            <w:vAlign w:val="center"/>
          </w:tcPr>
          <w:p w14:paraId="5E5CEB75">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对中标人无正当理由不与招标人订立合同，在签订合同时向招标人提出附加条件，或者不按照招标文件要求提交履约保证金的处罚</w:t>
            </w:r>
          </w:p>
        </w:tc>
        <w:tc>
          <w:tcPr>
            <w:tcW w:w="1016" w:type="dxa"/>
            <w:tcBorders>
              <w:tl2br w:val="nil"/>
              <w:tr2bl w:val="nil"/>
            </w:tcBorders>
            <w:vAlign w:val="top"/>
          </w:tcPr>
          <w:p w14:paraId="47544B4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55317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7E75C4F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37B423D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6C2F1B1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620CC85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64993B6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6777171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6722661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2FBCC16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08E426AD">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320217068000</w:t>
            </w:r>
          </w:p>
        </w:tc>
        <w:tc>
          <w:tcPr>
            <w:tcW w:w="1282" w:type="dxa"/>
            <w:tcBorders>
              <w:tl2br w:val="nil"/>
              <w:tr2bl w:val="nil"/>
            </w:tcBorders>
            <w:shd w:val="clear" w:color="auto" w:fill="auto"/>
            <w:vAlign w:val="center"/>
          </w:tcPr>
          <w:p w14:paraId="2C0479E0">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评标委员会成员应当回避而不回避，擅离职守，不按照招标文件规定的评标标准和方法评标，私下接触投标人，向招标人征询确定中标人的意向或者接受任何单位或者个人明示或者暗示提出的倾向或者排斥特定投标人的要求，对依法应当否决的投标不提出否决意见，暗示或者诱导投标人作出澄清、说明或者接受投标人主动提出的澄清说明等的处罚</w:t>
            </w:r>
          </w:p>
        </w:tc>
        <w:tc>
          <w:tcPr>
            <w:tcW w:w="1016" w:type="dxa"/>
            <w:tcBorders>
              <w:tl2br w:val="nil"/>
              <w:tr2bl w:val="nil"/>
            </w:tcBorders>
            <w:vAlign w:val="top"/>
          </w:tcPr>
          <w:p w14:paraId="21B04C3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2C06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70A45CD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7542914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3EC32B5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3855F1B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16E486A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47B2BF8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693BBD0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3A41DB6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6526A087">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320117066001</w:t>
            </w:r>
          </w:p>
        </w:tc>
        <w:tc>
          <w:tcPr>
            <w:tcW w:w="1282" w:type="dxa"/>
            <w:tcBorders>
              <w:tl2br w:val="nil"/>
              <w:tr2bl w:val="nil"/>
            </w:tcBorders>
            <w:shd w:val="clear" w:color="auto" w:fill="auto"/>
            <w:vAlign w:val="center"/>
          </w:tcPr>
          <w:p w14:paraId="2577E49C">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不（公开）招标项目的批准，子项：不宜公开招标项目的批准</w:t>
            </w:r>
          </w:p>
        </w:tc>
        <w:tc>
          <w:tcPr>
            <w:tcW w:w="1016" w:type="dxa"/>
            <w:tcBorders>
              <w:tl2br w:val="nil"/>
              <w:tr2bl w:val="nil"/>
            </w:tcBorders>
            <w:vAlign w:val="top"/>
          </w:tcPr>
          <w:p w14:paraId="7AF3CEF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7D9B3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71BEDB1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2602586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16CA65C0">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1B5AD12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1258806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42F315EF">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7ED718C3">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60D7D77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6F9CBE25">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320117074001</w:t>
            </w:r>
          </w:p>
        </w:tc>
        <w:tc>
          <w:tcPr>
            <w:tcW w:w="1282" w:type="dxa"/>
            <w:tcBorders>
              <w:tl2br w:val="nil"/>
              <w:tr2bl w:val="nil"/>
            </w:tcBorders>
            <w:shd w:val="clear" w:color="auto" w:fill="auto"/>
            <w:vAlign w:val="center"/>
          </w:tcPr>
          <w:p w14:paraId="3B0C09A0">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不（公开）招标项目的批准，子项：应招标工程不招标的审批</w:t>
            </w:r>
          </w:p>
        </w:tc>
        <w:tc>
          <w:tcPr>
            <w:tcW w:w="1016" w:type="dxa"/>
            <w:tcBorders>
              <w:tl2br w:val="nil"/>
              <w:tr2bl w:val="nil"/>
            </w:tcBorders>
            <w:vAlign w:val="top"/>
          </w:tcPr>
          <w:p w14:paraId="640105C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7131F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296F7F0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4D0AB81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3335763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21682729">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49284A3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0C31662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67907B0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76B355BE">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343D271E">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3202SZ065000</w:t>
            </w:r>
          </w:p>
        </w:tc>
        <w:tc>
          <w:tcPr>
            <w:tcW w:w="1282" w:type="dxa"/>
            <w:tcBorders>
              <w:tl2br w:val="nil"/>
              <w:tr2bl w:val="nil"/>
            </w:tcBorders>
            <w:shd w:val="clear" w:color="auto" w:fill="auto"/>
            <w:vAlign w:val="center"/>
          </w:tcPr>
          <w:p w14:paraId="6E2D4BE0">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对建设单位或者项目招标人必须通过招标发包监理业务而没有通过招标发包的处罚</w:t>
            </w:r>
          </w:p>
        </w:tc>
        <w:tc>
          <w:tcPr>
            <w:tcW w:w="1016" w:type="dxa"/>
            <w:tcBorders>
              <w:tl2br w:val="nil"/>
              <w:tr2bl w:val="nil"/>
            </w:tcBorders>
            <w:vAlign w:val="top"/>
          </w:tcPr>
          <w:p w14:paraId="5612B61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239E0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110FA7C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264FDD6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5EE3CA1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380CE3A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3089CECD">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293C5E7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1FF23984">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0FF8A1D7">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44EC2316">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3202SZ064000</w:t>
            </w:r>
          </w:p>
        </w:tc>
        <w:tc>
          <w:tcPr>
            <w:tcW w:w="1282" w:type="dxa"/>
            <w:tcBorders>
              <w:tl2br w:val="nil"/>
              <w:tr2bl w:val="nil"/>
            </w:tcBorders>
            <w:shd w:val="clear" w:color="auto" w:fill="auto"/>
            <w:vAlign w:val="center"/>
          </w:tcPr>
          <w:p w14:paraId="35930D3B">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对投标人之间存在控股关系或者隶属关系的，在同一建设工程项目招标中同时投标的处罚</w:t>
            </w:r>
          </w:p>
        </w:tc>
        <w:tc>
          <w:tcPr>
            <w:tcW w:w="1016" w:type="dxa"/>
            <w:tcBorders>
              <w:tl2br w:val="nil"/>
              <w:tr2bl w:val="nil"/>
            </w:tcBorders>
            <w:vAlign w:val="top"/>
          </w:tcPr>
          <w:p w14:paraId="1EF7FC73">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6779F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vAlign w:val="top"/>
          </w:tcPr>
          <w:p w14:paraId="60CBC415">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324" w:type="dxa"/>
            <w:vMerge w:val="continue"/>
            <w:tcBorders>
              <w:tl2br w:val="nil"/>
              <w:tr2bl w:val="nil"/>
            </w:tcBorders>
            <w:vAlign w:val="center"/>
          </w:tcPr>
          <w:p w14:paraId="2D7D712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794" w:type="dxa"/>
            <w:vMerge w:val="continue"/>
            <w:tcBorders>
              <w:tl2br w:val="nil"/>
              <w:tr2bl w:val="nil"/>
            </w:tcBorders>
            <w:vAlign w:val="center"/>
          </w:tcPr>
          <w:p w14:paraId="4776374B">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872" w:type="dxa"/>
            <w:vMerge w:val="continue"/>
            <w:tcBorders>
              <w:tl2br w:val="nil"/>
              <w:tr2bl w:val="nil"/>
            </w:tcBorders>
            <w:vAlign w:val="center"/>
          </w:tcPr>
          <w:p w14:paraId="37196281">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010" w:type="dxa"/>
            <w:vMerge w:val="continue"/>
            <w:tcBorders>
              <w:tl2br w:val="nil"/>
              <w:tr2bl w:val="nil"/>
            </w:tcBorders>
            <w:vAlign w:val="center"/>
          </w:tcPr>
          <w:p w14:paraId="45F91922">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c>
          <w:tcPr>
            <w:tcW w:w="4922" w:type="dxa"/>
            <w:vMerge w:val="continue"/>
            <w:tcBorders>
              <w:tl2br w:val="nil"/>
              <w:tr2bl w:val="nil"/>
            </w:tcBorders>
            <w:shd w:val="clear" w:color="auto" w:fill="auto"/>
            <w:vAlign w:val="center"/>
          </w:tcPr>
          <w:p w14:paraId="7C506048">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926" w:type="dxa"/>
            <w:vMerge w:val="continue"/>
            <w:tcBorders>
              <w:tl2br w:val="nil"/>
              <w:tr2bl w:val="nil"/>
            </w:tcBorders>
            <w:vAlign w:val="center"/>
          </w:tcPr>
          <w:p w14:paraId="5BD40476">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104" w:type="dxa"/>
            <w:vMerge w:val="continue"/>
            <w:tcBorders>
              <w:tl2br w:val="nil"/>
              <w:tr2bl w:val="nil"/>
            </w:tcBorders>
            <w:vAlign w:val="center"/>
          </w:tcPr>
          <w:p w14:paraId="481BA7DC">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p>
        </w:tc>
        <w:tc>
          <w:tcPr>
            <w:tcW w:w="1296" w:type="dxa"/>
            <w:tcBorders>
              <w:tl2br w:val="nil"/>
              <w:tr2bl w:val="nil"/>
            </w:tcBorders>
            <w:vAlign w:val="center"/>
          </w:tcPr>
          <w:p w14:paraId="6AFA2997">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3202SZ063000</w:t>
            </w:r>
          </w:p>
        </w:tc>
        <w:tc>
          <w:tcPr>
            <w:tcW w:w="1282" w:type="dxa"/>
            <w:tcBorders>
              <w:tl2br w:val="nil"/>
              <w:tr2bl w:val="nil"/>
            </w:tcBorders>
            <w:shd w:val="clear" w:color="auto" w:fill="auto"/>
            <w:vAlign w:val="center"/>
          </w:tcPr>
          <w:p w14:paraId="7C921150">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b w:val="0"/>
                <w:bCs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对法定代表人为同一个人的两个或者两个以上企业法人，同时参加同一建设工程项目的投标的处罚</w:t>
            </w:r>
          </w:p>
        </w:tc>
        <w:tc>
          <w:tcPr>
            <w:tcW w:w="1016" w:type="dxa"/>
            <w:tcBorders>
              <w:tl2br w:val="nil"/>
              <w:tr2bl w:val="nil"/>
            </w:tcBorders>
            <w:vAlign w:val="top"/>
          </w:tcPr>
          <w:p w14:paraId="3FB3059A">
            <w:pPr>
              <w:pStyle w:val="3"/>
              <w:keepNext w:val="0"/>
              <w:keepLines w:val="0"/>
              <w:suppressLineNumbers w:val="0"/>
              <w:spacing w:before="0" w:beforeAutospacing="0" w:afterAutospacing="0"/>
              <w:ind w:left="0" w:right="0"/>
              <w:jc w:val="left"/>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52B6C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vAlign w:val="center"/>
          </w:tcPr>
          <w:p w14:paraId="21309A32">
            <w:pPr>
              <w:pStyle w:val="3"/>
              <w:keepNext w:val="0"/>
              <w:keepLines w:val="0"/>
              <w:suppressLineNumbers w:val="0"/>
              <w:spacing w:before="0" w:beforeAutospacing="0" w:afterAutospacing="0"/>
              <w:ind w:left="0" w:right="0"/>
              <w:jc w:val="center"/>
              <w:rPr>
                <w:rFonts w:hint="default"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23</w:t>
            </w:r>
          </w:p>
        </w:tc>
        <w:tc>
          <w:tcPr>
            <w:tcW w:w="1324" w:type="dxa"/>
            <w:tcBorders>
              <w:tl2br w:val="nil"/>
              <w:tr2bl w:val="nil"/>
            </w:tcBorders>
            <w:vAlign w:val="center"/>
          </w:tcPr>
          <w:p w14:paraId="0534A949">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对建设单位向物业服务企业移交有关资料的行政检查</w:t>
            </w:r>
          </w:p>
        </w:tc>
        <w:tc>
          <w:tcPr>
            <w:tcW w:w="794" w:type="dxa"/>
            <w:tcBorders>
              <w:tl2br w:val="nil"/>
              <w:tr2bl w:val="nil"/>
            </w:tcBorders>
            <w:vAlign w:val="center"/>
          </w:tcPr>
          <w:p w14:paraId="3110E3E9">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苏州市吴中区住建局</w:t>
            </w:r>
          </w:p>
        </w:tc>
        <w:tc>
          <w:tcPr>
            <w:tcW w:w="872" w:type="dxa"/>
            <w:tcBorders>
              <w:tl2br w:val="nil"/>
              <w:tr2bl w:val="nil"/>
            </w:tcBorders>
            <w:vAlign w:val="center"/>
          </w:tcPr>
          <w:p w14:paraId="486A02F7">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物业管理科</w:t>
            </w:r>
          </w:p>
        </w:tc>
        <w:tc>
          <w:tcPr>
            <w:tcW w:w="1010" w:type="dxa"/>
            <w:tcBorders>
              <w:tl2br w:val="nil"/>
              <w:tr2bl w:val="nil"/>
            </w:tcBorders>
            <w:vAlign w:val="center"/>
          </w:tcPr>
          <w:p w14:paraId="0ED436D4">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建设单位</w:t>
            </w:r>
          </w:p>
        </w:tc>
        <w:tc>
          <w:tcPr>
            <w:tcW w:w="4922" w:type="dxa"/>
            <w:tcBorders>
              <w:tl2br w:val="nil"/>
              <w:tr2bl w:val="nil"/>
            </w:tcBorders>
            <w:shd w:val="clear" w:color="auto" w:fill="auto"/>
            <w:vAlign w:val="center"/>
          </w:tcPr>
          <w:p w14:paraId="15D6E21C">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国务院《物业管理条例》第二十九条、第五十八条：</w:t>
            </w:r>
          </w:p>
          <w:p w14:paraId="1F7D7C03">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第二十九条　在办理物业承接验收手续时，建设单位应当向物业服务企业移交下列资料：</w:t>
            </w:r>
          </w:p>
          <w:p w14:paraId="336ECFBC">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(一)竣工总平面图，单体建筑、结构、设备竣工图，配套设施、地下管网工程竣工图等竣工验收资料;</w:t>
            </w:r>
          </w:p>
          <w:p w14:paraId="4152E96B">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(二)设施设备的安装、使用和维护保养等技术资料;</w:t>
            </w:r>
          </w:p>
          <w:p w14:paraId="75E501B4">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(三)物业质量保修文件和物业使用说明文件;</w:t>
            </w:r>
          </w:p>
          <w:p w14:paraId="22CE4FD9">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(四)物业管理所必需的其他资料。</w:t>
            </w:r>
          </w:p>
          <w:p w14:paraId="5433A66A">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物业服务企业应当在前期物业服务合同终止时将上述资料移交给业主委员会。</w:t>
            </w:r>
          </w:p>
          <w:p w14:paraId="37E8F475">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第五十八条　违反本条例的规定，不移交有关资料的，由县级以上地方人民政府房地产行政主管部门责令限期改正;逾期仍不移交有关资料的，对建设单位、物业服务企业予以通报，处1万元以上10万元以下的罚款。</w:t>
            </w:r>
          </w:p>
        </w:tc>
        <w:tc>
          <w:tcPr>
            <w:tcW w:w="926" w:type="dxa"/>
            <w:tcBorders>
              <w:tl2br w:val="nil"/>
              <w:tr2bl w:val="nil"/>
            </w:tcBorders>
            <w:vAlign w:val="center"/>
          </w:tcPr>
          <w:p w14:paraId="64DAA6B0">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default"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default" w:ascii="仿宋_GB2312" w:hAnsi="仿宋_GB2312" w:eastAsia="仿宋_GB2312" w:cs="仿宋_GB2312"/>
                <w:color w:val="000000" w:themeColor="text1"/>
                <w:kern w:val="2"/>
                <w:sz w:val="21"/>
                <w:szCs w:val="21"/>
                <w:lang w:val="en-US" w:eastAsia="zh-CN" w:bidi="ar"/>
                <w14:textFill>
                  <w14:solidFill>
                    <w14:schemeClr w14:val="tx1"/>
                  </w14:solidFill>
                </w14:textFill>
              </w:rPr>
              <w:t>现场</w:t>
            </w:r>
          </w:p>
          <w:p w14:paraId="235D2235">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default"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default" w:ascii="仿宋_GB2312" w:hAnsi="仿宋_GB2312" w:eastAsia="仿宋_GB2312" w:cs="仿宋_GB2312"/>
                <w:color w:val="000000" w:themeColor="text1"/>
                <w:kern w:val="2"/>
                <w:sz w:val="21"/>
                <w:szCs w:val="21"/>
                <w:lang w:val="en-US" w:eastAsia="zh-CN" w:bidi="ar"/>
                <w14:textFill>
                  <w14:solidFill>
                    <w14:schemeClr w14:val="tx1"/>
                  </w14:solidFill>
                </w14:textFill>
              </w:rPr>
              <w:t>检查、书面</w:t>
            </w:r>
          </w:p>
          <w:p w14:paraId="45527172">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default" w:ascii="仿宋_GB2312" w:hAnsi="仿宋_GB2312" w:eastAsia="仿宋_GB2312" w:cs="仿宋_GB2312"/>
                <w:color w:val="000000" w:themeColor="text1"/>
                <w:kern w:val="2"/>
                <w:sz w:val="21"/>
                <w:szCs w:val="21"/>
                <w:lang w:val="en-US" w:eastAsia="zh-CN" w:bidi="ar"/>
                <w14:textFill>
                  <w14:solidFill>
                    <w14:schemeClr w14:val="tx1"/>
                  </w14:solidFill>
                </w14:textFill>
              </w:rPr>
              <w:t>检查</w:t>
            </w:r>
          </w:p>
        </w:tc>
        <w:tc>
          <w:tcPr>
            <w:tcW w:w="1104" w:type="dxa"/>
            <w:tcBorders>
              <w:tl2br w:val="nil"/>
              <w:tr2bl w:val="nil"/>
            </w:tcBorders>
            <w:vAlign w:val="center"/>
          </w:tcPr>
          <w:p w14:paraId="7E026FD0">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不定期（根据项目交付时间而定）</w:t>
            </w:r>
          </w:p>
        </w:tc>
        <w:tc>
          <w:tcPr>
            <w:tcW w:w="1296" w:type="dxa"/>
            <w:tcBorders>
              <w:tl2br w:val="nil"/>
              <w:tr2bl w:val="nil"/>
            </w:tcBorders>
            <w:vAlign w:val="center"/>
          </w:tcPr>
          <w:p w14:paraId="4C610517">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p>
        </w:tc>
        <w:tc>
          <w:tcPr>
            <w:tcW w:w="1282" w:type="dxa"/>
            <w:tcBorders>
              <w:tl2br w:val="nil"/>
              <w:tr2bl w:val="nil"/>
            </w:tcBorders>
            <w:shd w:val="clear" w:color="auto" w:fill="auto"/>
            <w:vAlign w:val="center"/>
          </w:tcPr>
          <w:p w14:paraId="25F3D986">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对在办理物业承接验收手续时，建设单位未向物业服务企业移交有关资料的处罚</w:t>
            </w:r>
          </w:p>
        </w:tc>
        <w:tc>
          <w:tcPr>
            <w:tcW w:w="1016" w:type="dxa"/>
            <w:tcBorders>
              <w:tl2br w:val="nil"/>
              <w:tr2bl w:val="nil"/>
            </w:tcBorders>
            <w:vAlign w:val="center"/>
          </w:tcPr>
          <w:p w14:paraId="14FE214F">
            <w:pPr>
              <w:keepNext w:val="0"/>
              <w:keepLines w:val="0"/>
              <w:suppressLineNumbers w:val="0"/>
              <w:spacing w:before="0" w:beforeAutospacing="0" w:after="0" w:afterAutospacing="0"/>
              <w:ind w:left="0" w:right="0"/>
              <w:rPr>
                <w:rFonts w:hint="eastAsia" w:ascii="仿宋_GB2312" w:hAnsi="仿宋_GB2312" w:eastAsia="仿宋_GB2312" w:cs="仿宋_GB2312"/>
                <w:b w:val="0"/>
                <w:bCs w:val="0"/>
                <w:color w:val="000000" w:themeColor="text1"/>
                <w:sz w:val="21"/>
                <w:szCs w:val="21"/>
                <w:u w:val="none"/>
                <w14:textFill>
                  <w14:solidFill>
                    <w14:schemeClr w14:val="tx1"/>
                  </w14:solidFill>
                </w14:textFill>
              </w:rPr>
            </w:pPr>
          </w:p>
        </w:tc>
      </w:tr>
      <w:tr w14:paraId="797EC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vAlign w:val="center"/>
          </w:tcPr>
          <w:p w14:paraId="7C745924">
            <w:pPr>
              <w:keepNext w:val="0"/>
              <w:keepLines w:val="0"/>
              <w:suppressLineNumbers w:val="0"/>
              <w:spacing w:before="0" w:beforeAutospacing="0" w:after="0" w:afterAutospacing="0"/>
              <w:ind w:left="0" w:right="0"/>
              <w:jc w:val="center"/>
              <w:rPr>
                <w:rFonts w:hint="default" w:ascii="仿宋_GB2312" w:hAnsi="仿宋_GB2312" w:eastAsia="仿宋_GB2312" w:cs="仿宋_GB2312"/>
                <w:color w:val="000000" w:themeColor="text1"/>
                <w:kern w:val="2"/>
                <w:sz w:val="21"/>
                <w:szCs w:val="21"/>
                <w:lang w:val="en-US" w:eastAsia="zh-CN" w:bidi="ar"/>
                <w14:textFill>
                  <w14:solidFill>
                    <w14:schemeClr w14:val="tx1"/>
                  </w14:solidFill>
                </w14:textFill>
              </w:rPr>
            </w:pPr>
            <w:bookmarkStart w:id="0" w:name="_GoBack" w:colFirst="1" w:colLast="10"/>
            <w:r>
              <w:rPr>
                <w:rFonts w:hint="eastAsia" w:ascii="Times New Roman" w:hAnsi="Times New Roman"/>
                <w:kern w:val="0"/>
                <w:sz w:val="18"/>
                <w:szCs w:val="18"/>
                <w:lang w:val="en-US" w:eastAsia="zh-CN"/>
              </w:rPr>
              <w:t>24</w:t>
            </w:r>
          </w:p>
        </w:tc>
        <w:tc>
          <w:tcPr>
            <w:tcW w:w="1324" w:type="dxa"/>
            <w:tcBorders>
              <w:tl2br w:val="nil"/>
              <w:tr2bl w:val="nil"/>
            </w:tcBorders>
            <w:vAlign w:val="center"/>
          </w:tcPr>
          <w:p w14:paraId="776ACD8C">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对物业服务企业承接查验公示情况的行政检查</w:t>
            </w:r>
          </w:p>
        </w:tc>
        <w:tc>
          <w:tcPr>
            <w:tcW w:w="794" w:type="dxa"/>
            <w:tcBorders>
              <w:tl2br w:val="nil"/>
              <w:tr2bl w:val="nil"/>
            </w:tcBorders>
            <w:vAlign w:val="center"/>
          </w:tcPr>
          <w:p w14:paraId="20BD3CC4">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苏州市吴中区住建局</w:t>
            </w:r>
          </w:p>
        </w:tc>
        <w:tc>
          <w:tcPr>
            <w:tcW w:w="872" w:type="dxa"/>
            <w:tcBorders>
              <w:tl2br w:val="nil"/>
              <w:tr2bl w:val="nil"/>
            </w:tcBorders>
            <w:vAlign w:val="center"/>
          </w:tcPr>
          <w:p w14:paraId="40A13245">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物业管理科</w:t>
            </w:r>
          </w:p>
        </w:tc>
        <w:tc>
          <w:tcPr>
            <w:tcW w:w="1010" w:type="dxa"/>
            <w:tcBorders>
              <w:tl2br w:val="nil"/>
              <w:tr2bl w:val="nil"/>
            </w:tcBorders>
            <w:vAlign w:val="center"/>
          </w:tcPr>
          <w:p w14:paraId="2460524F">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小区物业企业</w:t>
            </w:r>
          </w:p>
        </w:tc>
        <w:tc>
          <w:tcPr>
            <w:tcW w:w="4922" w:type="dxa"/>
            <w:tcBorders>
              <w:tl2br w:val="nil"/>
              <w:tr2bl w:val="nil"/>
            </w:tcBorders>
            <w:shd w:val="clear" w:color="auto" w:fill="auto"/>
            <w:vAlign w:val="center"/>
          </w:tcPr>
          <w:p w14:paraId="55D57182">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《江苏省物业管理条例》第四十一条 物业服务企业应当自物业交接后三十日内，持下列文件向物业所在地的县（市、区）物业管理行政主管部门办理备案手续：</w:t>
            </w:r>
          </w:p>
          <w:p w14:paraId="75C98B1C">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（一）前期物业服务合同；</w:t>
            </w:r>
          </w:p>
          <w:p w14:paraId="51379CED">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（二）临时管理规约；</w:t>
            </w:r>
          </w:p>
          <w:p w14:paraId="0E01AE8E">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（三）物业承接查验协议；</w:t>
            </w:r>
          </w:p>
          <w:p w14:paraId="0729E0A6">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（四）建设单位移交资料清单；</w:t>
            </w:r>
          </w:p>
          <w:p w14:paraId="05D54B21">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（五）查验记录；</w:t>
            </w:r>
          </w:p>
          <w:p w14:paraId="377CBABA">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（六）交接记录；</w:t>
            </w:r>
          </w:p>
          <w:p w14:paraId="6D67859A">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（七）其他与承接查验有关的文件。</w:t>
            </w:r>
          </w:p>
          <w:p w14:paraId="630E4498">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 xml:space="preserve">物业服务企业应当在备案后将物业承接查验情况，在物业管理区域内显著位置公告。       </w:t>
            </w:r>
          </w:p>
          <w:p w14:paraId="78B10AED">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第八十四条 违反本条例第四十一条第二款规定，物业服务企业未将物业承接查验情况在物业管理区域内显著位置公告的，由县（市、区）物业管理行政主管部门责令限期改正；逾期不改正的，处一万元以上十万元以下罚款。</w:t>
            </w:r>
          </w:p>
        </w:tc>
        <w:tc>
          <w:tcPr>
            <w:tcW w:w="926" w:type="dxa"/>
            <w:tcBorders>
              <w:tl2br w:val="nil"/>
              <w:tr2bl w:val="nil"/>
            </w:tcBorders>
            <w:vAlign w:val="center"/>
          </w:tcPr>
          <w:p w14:paraId="7DCF63B7">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default"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default" w:ascii="仿宋_GB2312" w:hAnsi="仿宋_GB2312" w:eastAsia="仿宋_GB2312" w:cs="仿宋_GB2312"/>
                <w:color w:val="000000" w:themeColor="text1"/>
                <w:kern w:val="2"/>
                <w:sz w:val="21"/>
                <w:szCs w:val="21"/>
                <w:lang w:val="en-US" w:eastAsia="zh-CN" w:bidi="ar"/>
                <w14:textFill>
                  <w14:solidFill>
                    <w14:schemeClr w14:val="tx1"/>
                  </w14:solidFill>
                </w14:textFill>
              </w:rPr>
              <w:t>现场</w:t>
            </w:r>
          </w:p>
          <w:p w14:paraId="6D3BA007">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default"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default" w:ascii="仿宋_GB2312" w:hAnsi="仿宋_GB2312" w:eastAsia="仿宋_GB2312" w:cs="仿宋_GB2312"/>
                <w:color w:val="000000" w:themeColor="text1"/>
                <w:kern w:val="2"/>
                <w:sz w:val="21"/>
                <w:szCs w:val="21"/>
                <w:lang w:val="en-US" w:eastAsia="zh-CN" w:bidi="ar"/>
                <w14:textFill>
                  <w14:solidFill>
                    <w14:schemeClr w14:val="tx1"/>
                  </w14:solidFill>
                </w14:textFill>
              </w:rPr>
              <w:t>检查、书面</w:t>
            </w:r>
          </w:p>
          <w:p w14:paraId="69022205">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default"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default" w:ascii="仿宋_GB2312" w:hAnsi="仿宋_GB2312" w:eastAsia="仿宋_GB2312" w:cs="仿宋_GB2312"/>
                <w:color w:val="000000" w:themeColor="text1"/>
                <w:kern w:val="2"/>
                <w:sz w:val="21"/>
                <w:szCs w:val="21"/>
                <w:lang w:val="en-US" w:eastAsia="zh-CN" w:bidi="ar"/>
                <w14:textFill>
                  <w14:solidFill>
                    <w14:schemeClr w14:val="tx1"/>
                  </w14:solidFill>
                </w14:textFill>
              </w:rPr>
              <w:t>检查</w:t>
            </w:r>
          </w:p>
        </w:tc>
        <w:tc>
          <w:tcPr>
            <w:tcW w:w="1104" w:type="dxa"/>
            <w:tcBorders>
              <w:tl2br w:val="nil"/>
              <w:tr2bl w:val="nil"/>
            </w:tcBorders>
            <w:vAlign w:val="center"/>
          </w:tcPr>
          <w:p w14:paraId="33B50C5F">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不定期（根据项目交付时间而定）</w:t>
            </w:r>
          </w:p>
        </w:tc>
        <w:tc>
          <w:tcPr>
            <w:tcW w:w="1296" w:type="dxa"/>
            <w:tcBorders>
              <w:tl2br w:val="nil"/>
              <w:tr2bl w:val="nil"/>
            </w:tcBorders>
            <w:vAlign w:val="center"/>
          </w:tcPr>
          <w:p w14:paraId="3F317D71">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p>
        </w:tc>
        <w:tc>
          <w:tcPr>
            <w:tcW w:w="1282" w:type="dxa"/>
            <w:tcBorders>
              <w:tl2br w:val="nil"/>
              <w:tr2bl w:val="nil"/>
            </w:tcBorders>
            <w:shd w:val="clear" w:color="auto" w:fill="auto"/>
            <w:vAlign w:val="center"/>
          </w:tcPr>
          <w:p w14:paraId="3176AE6B">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t>对物业服务企业未将物业承接查验情况在物业管理区域内显著公告的处罚</w:t>
            </w:r>
          </w:p>
        </w:tc>
        <w:tc>
          <w:tcPr>
            <w:tcW w:w="1016" w:type="dxa"/>
            <w:tcBorders>
              <w:tl2br w:val="nil"/>
              <w:tr2bl w:val="nil"/>
            </w:tcBorders>
            <w:vAlign w:val="center"/>
          </w:tcPr>
          <w:p w14:paraId="538DE765">
            <w:pPr>
              <w:keepNext w:val="0"/>
              <w:keepLines w:val="0"/>
              <w:widowControl/>
              <w:suppressLineNumbers w:val="0"/>
              <w:autoSpaceDE w:val="0"/>
              <w:autoSpaceDN w:val="0"/>
              <w:spacing w:before="0" w:beforeAutospacing="0" w:after="0" w:afterAutospacing="0" w:line="240" w:lineRule="exact"/>
              <w:ind w:left="0" w:leftChars="0" w:right="0" w:rightChars="0"/>
              <w:jc w:val="left"/>
              <w:rPr>
                <w:rFonts w:hint="eastAsia" w:ascii="仿宋_GB2312" w:hAnsi="仿宋_GB2312" w:eastAsia="仿宋_GB2312" w:cs="仿宋_GB2312"/>
                <w:color w:val="000000" w:themeColor="text1"/>
                <w:kern w:val="2"/>
                <w:sz w:val="21"/>
                <w:szCs w:val="21"/>
                <w:lang w:val="en-US" w:eastAsia="zh-CN" w:bidi="ar"/>
                <w14:textFill>
                  <w14:solidFill>
                    <w14:schemeClr w14:val="tx1"/>
                  </w14:solidFill>
                </w14:textFill>
              </w:rPr>
            </w:pPr>
          </w:p>
        </w:tc>
      </w:tr>
      <w:bookmarkEnd w:id="0"/>
    </w:tbl>
    <w:p w14:paraId="7D3FFC94">
      <w:pPr>
        <w:overflowPunct w:val="0"/>
        <w:adjustRightInd w:val="0"/>
        <w:snapToGrid w:val="0"/>
        <w:spacing w:line="560" w:lineRule="exact"/>
        <w:rPr>
          <w:rFonts w:ascii="Times New Roman" w:hAnsi="Times New Roman"/>
        </w:rPr>
      </w:pPr>
    </w:p>
    <w:p w14:paraId="0A16E5C7"/>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EwZjkyNDg2YzE2MzE4ZmI1NTFjNWFiNDQyMjA0MWYifQ=="/>
  </w:docVars>
  <w:rsids>
    <w:rsidRoot w:val="00606CAC"/>
    <w:rsid w:val="00233750"/>
    <w:rsid w:val="00277B63"/>
    <w:rsid w:val="002F1A7A"/>
    <w:rsid w:val="00606CAC"/>
    <w:rsid w:val="0089357F"/>
    <w:rsid w:val="008A7CA9"/>
    <w:rsid w:val="00917BA7"/>
    <w:rsid w:val="00E40776"/>
    <w:rsid w:val="00F309EB"/>
    <w:rsid w:val="06F91157"/>
    <w:rsid w:val="09630EDC"/>
    <w:rsid w:val="0A1451C6"/>
    <w:rsid w:val="0EAA283E"/>
    <w:rsid w:val="101C0036"/>
    <w:rsid w:val="18AD3F21"/>
    <w:rsid w:val="219C2D85"/>
    <w:rsid w:val="28B557DE"/>
    <w:rsid w:val="2EA16397"/>
    <w:rsid w:val="3062163D"/>
    <w:rsid w:val="36D82286"/>
    <w:rsid w:val="438969B2"/>
    <w:rsid w:val="472D60AA"/>
    <w:rsid w:val="47AA604F"/>
    <w:rsid w:val="4A09707F"/>
    <w:rsid w:val="4AC24D5B"/>
    <w:rsid w:val="4CAA4C94"/>
    <w:rsid w:val="50EC0D83"/>
    <w:rsid w:val="53B314D8"/>
    <w:rsid w:val="57094355"/>
    <w:rsid w:val="67364B6A"/>
    <w:rsid w:val="697E02EA"/>
    <w:rsid w:val="6B737C7F"/>
    <w:rsid w:val="6D763A57"/>
    <w:rsid w:val="6E602EA8"/>
    <w:rsid w:val="741D62AC"/>
    <w:rsid w:val="74536171"/>
    <w:rsid w:val="7BF32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sz w:val="20"/>
      <w:szCs w:val="20"/>
    </w:rPr>
    <w:tblPr>
      <w:tblCellMar>
        <w:top w:w="0" w:type="dxa"/>
        <w:left w:w="108" w:type="dxa"/>
        <w:bottom w:w="0" w:type="dxa"/>
        <w:right w:w="108" w:type="dxa"/>
      </w:tblCellMar>
    </w:tblPr>
  </w:style>
  <w:style w:type="paragraph" w:customStyle="1" w:styleId="2">
    <w:name w:val="TOC1"/>
    <w:basedOn w:val="1"/>
    <w:next w:val="1"/>
    <w:qFormat/>
    <w:uiPriority w:val="0"/>
  </w:style>
  <w:style w:type="paragraph" w:styleId="3">
    <w:name w:val="Body Text"/>
    <w:basedOn w:val="1"/>
    <w:link w:val="7"/>
    <w:autoRedefine/>
    <w:semiHidden/>
    <w:unhideWhenUsed/>
    <w:qFormat/>
    <w:uiPriority w:val="99"/>
    <w:pPr>
      <w:spacing w:after="120"/>
    </w:pPr>
  </w:style>
  <w:style w:type="paragraph" w:styleId="4">
    <w:name w:val="Normal (Web)"/>
    <w:basedOn w:val="1"/>
    <w:autoRedefine/>
    <w:semiHidden/>
    <w:unhideWhenUsed/>
    <w:qFormat/>
    <w:uiPriority w:val="99"/>
    <w:rPr>
      <w:sz w:val="24"/>
    </w:rPr>
  </w:style>
  <w:style w:type="character" w:customStyle="1" w:styleId="7">
    <w:name w:val="正文文本 字符"/>
    <w:basedOn w:val="6"/>
    <w:link w:val="3"/>
    <w:autoRedefine/>
    <w:semiHidden/>
    <w:qFormat/>
    <w:uiPriority w:val="99"/>
    <w:rPr>
      <w:rFonts w:ascii="Calibri" w:hAnsi="Calibri"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103</Pages>
  <Words>53557</Words>
  <Characters>55936</Characters>
  <Lines>295</Lines>
  <Paragraphs>83</Paragraphs>
  <TotalTime>3</TotalTime>
  <ScaleCrop>false</ScaleCrop>
  <LinksUpToDate>false</LinksUpToDate>
  <CharactersWithSpaces>57641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2024-05-28T08:06:00Z</dcterms:created>
  <dc:creator>戴茜</dc:creator>
  <cp:lastModifiedBy>Administrator</cp:lastModifiedBy>
  <dcterms:modified xsi:type="dcterms:W3CDTF">2026-04-17T06:55:29Z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030BF981AB5142A59433271C9DB5CB31_12</vt:lpwstr>
  </property>
  <property fmtid="{D5CDD505-2E9C-101B-9397-08002B2CF9AE}" pid="4" name="KSOTemplateDocerSaveRecord">
    <vt:lpwstr>eyJoZGlkIjoiYTIwZjdmMjY5ZmY3N2IwYzg5Y2IxYzRkYWQyNGZlNWIiLCJ1c2VySWQiOiI1NDkyMjU2MjUifQ==</vt:lpwstr>
  </property>
</Properties>
</file>