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3ACC1">
      <w:pPr>
        <w:jc w:val="center"/>
        <w:rPr>
          <w:rFonts w:ascii="Times New Roman" w:hAnsi="Times New Roman" w:eastAsia="仿宋_GB2312"/>
          <w:sz w:val="32"/>
          <w:szCs w:val="32"/>
        </w:rPr>
      </w:pPr>
      <w:r>
        <w:rPr>
          <w:rFonts w:hint="eastAsia" w:ascii="Times New Roman" w:hAnsi="Times New Roman" w:eastAsia="方正小标宋简体"/>
          <w:sz w:val="44"/>
          <w:szCs w:val="44"/>
          <w:lang w:val="en-US" w:eastAsia="zh-CN"/>
        </w:rPr>
        <w:t>苏州市吴中民政</w:t>
      </w:r>
      <w:r>
        <w:rPr>
          <w:rFonts w:ascii="Times New Roman" w:hAnsi="Times New Roman" w:eastAsia="方正小标宋简体"/>
          <w:sz w:val="44"/>
          <w:szCs w:val="44"/>
        </w:rPr>
        <w:t>局行政检查事项清单</w:t>
      </w:r>
    </w:p>
    <w:tbl>
      <w:tblPr>
        <w:tblStyle w:val="7"/>
        <w:tblW w:w="14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246"/>
        <w:gridCol w:w="793"/>
        <w:gridCol w:w="775"/>
        <w:gridCol w:w="950"/>
        <w:gridCol w:w="4605"/>
        <w:gridCol w:w="1200"/>
        <w:gridCol w:w="1100"/>
        <w:gridCol w:w="1370"/>
        <w:gridCol w:w="1220"/>
        <w:gridCol w:w="432"/>
      </w:tblGrid>
      <w:tr w14:paraId="68B9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04" w:type="dxa"/>
            <w:vMerge w:val="restart"/>
            <w:vAlign w:val="center"/>
          </w:tcPr>
          <w:p w14:paraId="6FA9F9A5">
            <w:pPr>
              <w:jc w:val="center"/>
              <w:rPr>
                <w:rFonts w:ascii="Times New Roman" w:hAnsi="Times New Roman" w:eastAsia="黑体"/>
                <w:kern w:val="0"/>
                <w:sz w:val="24"/>
              </w:rPr>
            </w:pPr>
            <w:r>
              <w:rPr>
                <w:rFonts w:ascii="Times New Roman" w:hAnsi="黑体" w:eastAsia="黑体"/>
                <w:kern w:val="0"/>
                <w:sz w:val="24"/>
              </w:rPr>
              <w:t>序号</w:t>
            </w:r>
          </w:p>
        </w:tc>
        <w:tc>
          <w:tcPr>
            <w:tcW w:w="1246" w:type="dxa"/>
            <w:vMerge w:val="restart"/>
            <w:vAlign w:val="center"/>
          </w:tcPr>
          <w:p w14:paraId="0A7E0711">
            <w:pPr>
              <w:jc w:val="center"/>
              <w:rPr>
                <w:rFonts w:ascii="Times New Roman" w:hAnsi="Times New Roman" w:eastAsia="黑体"/>
                <w:kern w:val="0"/>
                <w:sz w:val="24"/>
              </w:rPr>
            </w:pPr>
            <w:r>
              <w:rPr>
                <w:rFonts w:ascii="Times New Roman" w:hAnsi="黑体" w:eastAsia="黑体"/>
                <w:kern w:val="0"/>
                <w:sz w:val="24"/>
              </w:rPr>
              <w:t>检查事项</w:t>
            </w:r>
          </w:p>
        </w:tc>
        <w:tc>
          <w:tcPr>
            <w:tcW w:w="793" w:type="dxa"/>
            <w:vMerge w:val="restart"/>
            <w:vAlign w:val="center"/>
          </w:tcPr>
          <w:p w14:paraId="0AEF3940">
            <w:pPr>
              <w:jc w:val="center"/>
              <w:rPr>
                <w:rFonts w:ascii="Times New Roman" w:hAnsi="Times New Roman" w:eastAsia="黑体"/>
                <w:kern w:val="0"/>
                <w:sz w:val="24"/>
              </w:rPr>
            </w:pPr>
            <w:r>
              <w:rPr>
                <w:rFonts w:ascii="Times New Roman" w:hAnsi="黑体" w:eastAsia="黑体"/>
                <w:kern w:val="0"/>
                <w:sz w:val="24"/>
              </w:rPr>
              <w:t>检查主体</w:t>
            </w:r>
          </w:p>
        </w:tc>
        <w:tc>
          <w:tcPr>
            <w:tcW w:w="775" w:type="dxa"/>
            <w:vMerge w:val="restart"/>
            <w:vAlign w:val="center"/>
          </w:tcPr>
          <w:p w14:paraId="4117BE35">
            <w:pPr>
              <w:jc w:val="center"/>
              <w:rPr>
                <w:rFonts w:ascii="Times New Roman" w:hAnsi="Times New Roman" w:eastAsia="黑体"/>
                <w:kern w:val="0"/>
                <w:sz w:val="24"/>
              </w:rPr>
            </w:pPr>
            <w:r>
              <w:rPr>
                <w:rFonts w:ascii="Times New Roman" w:hAnsi="黑体" w:eastAsia="黑体"/>
                <w:kern w:val="0"/>
                <w:sz w:val="24"/>
              </w:rPr>
              <w:t>检查机构</w:t>
            </w:r>
          </w:p>
        </w:tc>
        <w:tc>
          <w:tcPr>
            <w:tcW w:w="950" w:type="dxa"/>
            <w:vMerge w:val="restart"/>
            <w:vAlign w:val="center"/>
          </w:tcPr>
          <w:p w14:paraId="6D454598">
            <w:pPr>
              <w:jc w:val="center"/>
              <w:rPr>
                <w:rFonts w:ascii="Times New Roman" w:hAnsi="Times New Roman" w:eastAsia="黑体"/>
                <w:kern w:val="0"/>
                <w:sz w:val="24"/>
              </w:rPr>
            </w:pPr>
            <w:r>
              <w:rPr>
                <w:rFonts w:ascii="Times New Roman" w:hAnsi="黑体" w:eastAsia="黑体"/>
                <w:kern w:val="0"/>
                <w:sz w:val="24"/>
              </w:rPr>
              <w:t>检查对象</w:t>
            </w:r>
          </w:p>
        </w:tc>
        <w:tc>
          <w:tcPr>
            <w:tcW w:w="4605" w:type="dxa"/>
            <w:vMerge w:val="restart"/>
            <w:vAlign w:val="center"/>
          </w:tcPr>
          <w:p w14:paraId="71D0ECA7">
            <w:pPr>
              <w:jc w:val="center"/>
              <w:rPr>
                <w:rFonts w:ascii="Times New Roman" w:hAnsi="Times New Roman" w:eastAsia="黑体"/>
                <w:kern w:val="0"/>
                <w:sz w:val="24"/>
              </w:rPr>
            </w:pPr>
            <w:r>
              <w:rPr>
                <w:rFonts w:ascii="Times New Roman" w:hAnsi="Times New Roman" w:eastAsia="黑体"/>
                <w:kern w:val="0"/>
                <w:sz w:val="24"/>
              </w:rPr>
              <w:t>检查依据</w:t>
            </w:r>
          </w:p>
        </w:tc>
        <w:tc>
          <w:tcPr>
            <w:tcW w:w="1200" w:type="dxa"/>
            <w:vMerge w:val="restart"/>
            <w:vAlign w:val="center"/>
          </w:tcPr>
          <w:p w14:paraId="6F5784FE">
            <w:pPr>
              <w:jc w:val="center"/>
              <w:rPr>
                <w:rFonts w:ascii="Times New Roman" w:hAnsi="Times New Roman" w:eastAsia="黑体"/>
                <w:kern w:val="0"/>
                <w:sz w:val="24"/>
              </w:rPr>
            </w:pPr>
            <w:r>
              <w:rPr>
                <w:rFonts w:ascii="Times New Roman" w:hAnsi="黑体" w:eastAsia="黑体"/>
                <w:kern w:val="0"/>
                <w:sz w:val="24"/>
              </w:rPr>
              <w:t>检查方式</w:t>
            </w:r>
          </w:p>
        </w:tc>
        <w:tc>
          <w:tcPr>
            <w:tcW w:w="1100" w:type="dxa"/>
            <w:vMerge w:val="restart"/>
            <w:vAlign w:val="center"/>
          </w:tcPr>
          <w:p w14:paraId="2FA79FA4">
            <w:pPr>
              <w:jc w:val="center"/>
              <w:rPr>
                <w:rFonts w:ascii="Times New Roman" w:hAnsi="黑体" w:eastAsia="黑体"/>
                <w:kern w:val="0"/>
                <w:sz w:val="24"/>
              </w:rPr>
            </w:pPr>
            <w:r>
              <w:rPr>
                <w:rFonts w:ascii="Times New Roman" w:hAnsi="黑体" w:eastAsia="黑体"/>
                <w:kern w:val="0"/>
                <w:sz w:val="24"/>
              </w:rPr>
              <w:t>检查</w:t>
            </w:r>
          </w:p>
          <w:p w14:paraId="06792DC3">
            <w:pPr>
              <w:jc w:val="center"/>
              <w:rPr>
                <w:rFonts w:ascii="Times New Roman" w:hAnsi="黑体" w:eastAsia="黑体"/>
                <w:kern w:val="0"/>
                <w:sz w:val="24"/>
              </w:rPr>
            </w:pPr>
            <w:r>
              <w:rPr>
                <w:rFonts w:ascii="Times New Roman" w:hAnsi="黑体" w:eastAsia="黑体"/>
                <w:kern w:val="0"/>
                <w:sz w:val="24"/>
              </w:rPr>
              <w:t>频次</w:t>
            </w:r>
          </w:p>
          <w:p w14:paraId="38609E3A">
            <w:pPr>
              <w:jc w:val="center"/>
              <w:rPr>
                <w:rFonts w:ascii="Times New Roman" w:hAnsi="Times New Roman" w:eastAsia="黑体"/>
                <w:kern w:val="0"/>
                <w:sz w:val="24"/>
              </w:rPr>
            </w:pPr>
            <w:r>
              <w:rPr>
                <w:rFonts w:ascii="Times New Roman" w:hAnsi="黑体" w:eastAsia="黑体"/>
                <w:kern w:val="0"/>
                <w:sz w:val="24"/>
              </w:rPr>
              <w:t>（时间）</w:t>
            </w:r>
          </w:p>
        </w:tc>
        <w:tc>
          <w:tcPr>
            <w:tcW w:w="2590" w:type="dxa"/>
            <w:gridSpan w:val="2"/>
            <w:vAlign w:val="center"/>
          </w:tcPr>
          <w:p w14:paraId="01C49A09">
            <w:pPr>
              <w:jc w:val="center"/>
              <w:rPr>
                <w:rFonts w:ascii="Times New Roman" w:hAnsi="Times New Roman" w:eastAsia="黑体"/>
                <w:kern w:val="0"/>
                <w:sz w:val="24"/>
              </w:rPr>
            </w:pPr>
            <w:r>
              <w:rPr>
                <w:rFonts w:ascii="Times New Roman" w:hAnsi="黑体" w:eastAsia="黑体"/>
                <w:kern w:val="0"/>
                <w:sz w:val="24"/>
              </w:rPr>
              <w:t>对应的行政权力事项</w:t>
            </w:r>
          </w:p>
        </w:tc>
        <w:tc>
          <w:tcPr>
            <w:tcW w:w="432" w:type="dxa"/>
            <w:vMerge w:val="restart"/>
            <w:vAlign w:val="center"/>
          </w:tcPr>
          <w:p w14:paraId="780DFEA3">
            <w:pPr>
              <w:jc w:val="center"/>
              <w:rPr>
                <w:rFonts w:ascii="Times New Roman" w:hAnsi="Times New Roman" w:eastAsia="黑体"/>
                <w:kern w:val="0"/>
                <w:sz w:val="24"/>
              </w:rPr>
            </w:pPr>
            <w:r>
              <w:rPr>
                <w:rFonts w:ascii="Times New Roman" w:hAnsi="黑体" w:eastAsia="黑体"/>
                <w:kern w:val="0"/>
                <w:sz w:val="24"/>
              </w:rPr>
              <w:t>备注</w:t>
            </w:r>
          </w:p>
        </w:tc>
      </w:tr>
      <w:tr w14:paraId="5B44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04" w:type="dxa"/>
            <w:vMerge w:val="continue"/>
            <w:vAlign w:val="center"/>
          </w:tcPr>
          <w:p w14:paraId="466F3732">
            <w:pPr>
              <w:jc w:val="center"/>
              <w:rPr>
                <w:rFonts w:ascii="Times New Roman" w:hAnsi="Times New Roman" w:eastAsia="黑体"/>
                <w:kern w:val="0"/>
                <w:sz w:val="24"/>
              </w:rPr>
            </w:pPr>
          </w:p>
        </w:tc>
        <w:tc>
          <w:tcPr>
            <w:tcW w:w="1246" w:type="dxa"/>
            <w:vMerge w:val="continue"/>
            <w:vAlign w:val="center"/>
          </w:tcPr>
          <w:p w14:paraId="619FF272">
            <w:pPr>
              <w:jc w:val="center"/>
              <w:rPr>
                <w:rFonts w:ascii="Times New Roman" w:hAnsi="Times New Roman" w:eastAsia="黑体"/>
                <w:kern w:val="0"/>
                <w:sz w:val="24"/>
              </w:rPr>
            </w:pPr>
          </w:p>
        </w:tc>
        <w:tc>
          <w:tcPr>
            <w:tcW w:w="793" w:type="dxa"/>
            <w:vMerge w:val="continue"/>
            <w:vAlign w:val="center"/>
          </w:tcPr>
          <w:p w14:paraId="62A4EE81">
            <w:pPr>
              <w:jc w:val="center"/>
              <w:rPr>
                <w:rFonts w:ascii="Times New Roman" w:hAnsi="Times New Roman" w:eastAsia="黑体"/>
                <w:kern w:val="0"/>
                <w:sz w:val="24"/>
              </w:rPr>
            </w:pPr>
          </w:p>
        </w:tc>
        <w:tc>
          <w:tcPr>
            <w:tcW w:w="775" w:type="dxa"/>
            <w:vMerge w:val="continue"/>
            <w:vAlign w:val="center"/>
          </w:tcPr>
          <w:p w14:paraId="7F38D341">
            <w:pPr>
              <w:jc w:val="center"/>
              <w:rPr>
                <w:rFonts w:ascii="Times New Roman" w:hAnsi="Times New Roman" w:eastAsia="黑体"/>
                <w:kern w:val="0"/>
                <w:sz w:val="24"/>
              </w:rPr>
            </w:pPr>
          </w:p>
        </w:tc>
        <w:tc>
          <w:tcPr>
            <w:tcW w:w="950" w:type="dxa"/>
            <w:vMerge w:val="continue"/>
            <w:vAlign w:val="center"/>
          </w:tcPr>
          <w:p w14:paraId="1EC63A47">
            <w:pPr>
              <w:jc w:val="center"/>
              <w:rPr>
                <w:rFonts w:ascii="Times New Roman" w:hAnsi="Times New Roman" w:eastAsia="黑体"/>
                <w:kern w:val="0"/>
                <w:sz w:val="24"/>
              </w:rPr>
            </w:pPr>
          </w:p>
        </w:tc>
        <w:tc>
          <w:tcPr>
            <w:tcW w:w="4605" w:type="dxa"/>
            <w:vMerge w:val="continue"/>
            <w:vAlign w:val="center"/>
          </w:tcPr>
          <w:p w14:paraId="75A67FDE">
            <w:pPr>
              <w:jc w:val="center"/>
              <w:rPr>
                <w:rFonts w:ascii="Times New Roman" w:hAnsi="Times New Roman" w:eastAsia="黑体"/>
                <w:kern w:val="0"/>
                <w:sz w:val="24"/>
              </w:rPr>
            </w:pPr>
          </w:p>
        </w:tc>
        <w:tc>
          <w:tcPr>
            <w:tcW w:w="1200" w:type="dxa"/>
            <w:vMerge w:val="continue"/>
            <w:vAlign w:val="center"/>
          </w:tcPr>
          <w:p w14:paraId="0B37F656">
            <w:pPr>
              <w:jc w:val="center"/>
              <w:rPr>
                <w:rFonts w:ascii="Times New Roman" w:hAnsi="Times New Roman" w:eastAsia="黑体"/>
                <w:kern w:val="0"/>
                <w:sz w:val="24"/>
              </w:rPr>
            </w:pPr>
          </w:p>
        </w:tc>
        <w:tc>
          <w:tcPr>
            <w:tcW w:w="1100" w:type="dxa"/>
            <w:vMerge w:val="continue"/>
            <w:vAlign w:val="center"/>
          </w:tcPr>
          <w:p w14:paraId="05108AC8">
            <w:pPr>
              <w:jc w:val="center"/>
              <w:rPr>
                <w:rFonts w:ascii="Times New Roman" w:hAnsi="Times New Roman" w:eastAsia="黑体"/>
                <w:kern w:val="0"/>
                <w:sz w:val="24"/>
              </w:rPr>
            </w:pPr>
          </w:p>
        </w:tc>
        <w:tc>
          <w:tcPr>
            <w:tcW w:w="1370" w:type="dxa"/>
            <w:vAlign w:val="center"/>
          </w:tcPr>
          <w:p w14:paraId="08DC3D7E">
            <w:pPr>
              <w:jc w:val="center"/>
              <w:rPr>
                <w:rFonts w:ascii="Times New Roman" w:hAnsi="Times New Roman" w:eastAsia="黑体"/>
                <w:kern w:val="0"/>
                <w:sz w:val="24"/>
              </w:rPr>
            </w:pPr>
            <w:r>
              <w:rPr>
                <w:rFonts w:ascii="Times New Roman" w:hAnsi="黑体" w:eastAsia="黑体"/>
                <w:kern w:val="0"/>
                <w:sz w:val="24"/>
              </w:rPr>
              <w:t>权力编码</w:t>
            </w:r>
          </w:p>
        </w:tc>
        <w:tc>
          <w:tcPr>
            <w:tcW w:w="1220" w:type="dxa"/>
            <w:vAlign w:val="center"/>
          </w:tcPr>
          <w:p w14:paraId="515C4822">
            <w:pPr>
              <w:jc w:val="center"/>
              <w:rPr>
                <w:rFonts w:ascii="Times New Roman" w:hAnsi="Times New Roman" w:eastAsia="黑体"/>
                <w:kern w:val="0"/>
                <w:sz w:val="24"/>
              </w:rPr>
            </w:pPr>
            <w:r>
              <w:rPr>
                <w:rFonts w:ascii="Times New Roman" w:hAnsi="黑体" w:eastAsia="黑体"/>
                <w:kern w:val="0"/>
                <w:sz w:val="24"/>
              </w:rPr>
              <w:t>权力名称</w:t>
            </w:r>
          </w:p>
        </w:tc>
        <w:tc>
          <w:tcPr>
            <w:tcW w:w="432" w:type="dxa"/>
            <w:vMerge w:val="continue"/>
            <w:vAlign w:val="center"/>
          </w:tcPr>
          <w:p w14:paraId="26B8878F">
            <w:pPr>
              <w:jc w:val="center"/>
              <w:rPr>
                <w:rFonts w:ascii="Times New Roman" w:hAnsi="Times New Roman" w:eastAsia="黑体"/>
                <w:kern w:val="0"/>
                <w:sz w:val="24"/>
              </w:rPr>
            </w:pPr>
          </w:p>
        </w:tc>
      </w:tr>
      <w:tr w14:paraId="01FE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4" w:hRule="atLeast"/>
          <w:jc w:val="center"/>
        </w:trPr>
        <w:tc>
          <w:tcPr>
            <w:tcW w:w="504" w:type="dxa"/>
            <w:vAlign w:val="center"/>
          </w:tcPr>
          <w:p w14:paraId="5995A2B3">
            <w:pPr>
              <w:jc w:val="center"/>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1</w:t>
            </w:r>
          </w:p>
        </w:tc>
        <w:tc>
          <w:tcPr>
            <w:tcW w:w="1246" w:type="dxa"/>
            <w:vAlign w:val="center"/>
          </w:tcPr>
          <w:p w14:paraId="105D0DB1">
            <w:pPr>
              <w:overflowPunct w:val="0"/>
              <w:autoSpaceDE w:val="0"/>
              <w:autoSpaceDN w:val="0"/>
              <w:rPr>
                <w:rFonts w:hint="eastAsia" w:ascii="宋体" w:hAnsi="宋体" w:eastAsia="宋体" w:cs="宋体"/>
                <w:b w:val="0"/>
                <w:bCs w:val="0"/>
                <w:kern w:val="0"/>
                <w:sz w:val="18"/>
                <w:szCs w:val="18"/>
                <w:shd w:val="clear" w:color="auto" w:fill="FFFFFF"/>
              </w:rPr>
            </w:pPr>
            <w:r>
              <w:rPr>
                <w:rFonts w:hint="eastAsia" w:ascii="宋体" w:hAnsi="宋体" w:eastAsia="宋体" w:cs="宋体"/>
                <w:b w:val="0"/>
                <w:bCs w:val="0"/>
                <w:kern w:val="0"/>
                <w:sz w:val="18"/>
                <w:szCs w:val="18"/>
                <w:shd w:val="clear" w:color="auto" w:fill="FFFFFF"/>
              </w:rPr>
              <w:t>对养老机构依法服务和运营的行政检查</w:t>
            </w:r>
          </w:p>
        </w:tc>
        <w:tc>
          <w:tcPr>
            <w:tcW w:w="793" w:type="dxa"/>
            <w:vAlign w:val="center"/>
          </w:tcPr>
          <w:p w14:paraId="04B07793">
            <w:pPr>
              <w:overflowPunct w:val="0"/>
              <w:autoSpaceDE w:val="0"/>
              <w:autoSpaceDN w:val="0"/>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苏州市吴中区民政局</w:t>
            </w:r>
          </w:p>
        </w:tc>
        <w:tc>
          <w:tcPr>
            <w:tcW w:w="775" w:type="dxa"/>
            <w:vAlign w:val="center"/>
          </w:tcPr>
          <w:p w14:paraId="12941F59">
            <w:pPr>
              <w:overflowPunct w:val="0"/>
              <w:autoSpaceDE w:val="0"/>
              <w:autoSpaceDN w:val="0"/>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苏州市吴中区民政局</w:t>
            </w:r>
          </w:p>
        </w:tc>
        <w:tc>
          <w:tcPr>
            <w:tcW w:w="950" w:type="dxa"/>
            <w:vAlign w:val="center"/>
          </w:tcPr>
          <w:p w14:paraId="6ACFD11A">
            <w:pPr>
              <w:overflowPunct w:val="0"/>
              <w:autoSpaceDE w:val="0"/>
              <w:autoSpaceDN w:val="0"/>
              <w:spacing w:line="320" w:lineRule="exact"/>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养老机构</w:t>
            </w:r>
          </w:p>
        </w:tc>
        <w:tc>
          <w:tcPr>
            <w:tcW w:w="4605" w:type="dxa"/>
            <w:vAlign w:val="center"/>
          </w:tcPr>
          <w:p w14:paraId="5F7ADA0D">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【法律】《养老机构管理办法》（2020年修订）</w:t>
            </w:r>
            <w:bookmarkStart w:id="0" w:name="_GoBack"/>
            <w:bookmarkEnd w:id="0"/>
          </w:p>
          <w:p w14:paraId="3499496D">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第三十六条 民政部门应当加强对养老机构服务和运营的监督检查，发现违反本办法规定的，及时依法予以处理并向社会公布。</w:t>
            </w:r>
          </w:p>
          <w:p w14:paraId="460E3923">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民政部门在监督检查中发现养老机构存在应当由其他部门查处的违法违规行为的，及时通报有关部门处理。</w:t>
            </w:r>
          </w:p>
        </w:tc>
        <w:tc>
          <w:tcPr>
            <w:tcW w:w="1200" w:type="dxa"/>
            <w:vAlign w:val="center"/>
          </w:tcPr>
          <w:p w14:paraId="11E6CDDA">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现场检查与非现场检查结合</w:t>
            </w:r>
          </w:p>
        </w:tc>
        <w:tc>
          <w:tcPr>
            <w:tcW w:w="1100" w:type="dxa"/>
            <w:vAlign w:val="center"/>
          </w:tcPr>
          <w:p w14:paraId="5A7E57DD">
            <w:pPr>
              <w:jc w:val="center"/>
              <w:rPr>
                <w:rFonts w:hint="eastAsia" w:ascii="宋体" w:hAnsi="宋体" w:eastAsia="宋体" w:cs="宋体"/>
                <w:b w:val="0"/>
                <w:bCs w:val="0"/>
                <w:kern w:val="0"/>
                <w:sz w:val="18"/>
                <w:szCs w:val="18"/>
                <w:shd w:val="clear" w:color="auto" w:fill="FFFFFF"/>
                <w:lang w:val="en-US" w:eastAsia="zh-CN"/>
              </w:rPr>
            </w:pPr>
            <w:r>
              <w:rPr>
                <w:rFonts w:hint="eastAsia" w:ascii="宋体" w:hAnsi="宋体" w:eastAsia="宋体" w:cs="宋体"/>
                <w:b w:val="0"/>
                <w:bCs w:val="0"/>
                <w:kern w:val="0"/>
                <w:sz w:val="18"/>
                <w:szCs w:val="18"/>
                <w:shd w:val="clear" w:color="auto" w:fill="FFFFFF"/>
                <w:lang w:val="en-US" w:eastAsia="zh-CN"/>
              </w:rPr>
              <w:t>1-12月</w:t>
            </w:r>
          </w:p>
        </w:tc>
        <w:tc>
          <w:tcPr>
            <w:tcW w:w="1370" w:type="dxa"/>
            <w:vAlign w:val="center"/>
          </w:tcPr>
          <w:p w14:paraId="557A8711">
            <w:pPr>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001011003000</w:t>
            </w:r>
          </w:p>
        </w:tc>
        <w:tc>
          <w:tcPr>
            <w:tcW w:w="1220" w:type="dxa"/>
            <w:vAlign w:val="center"/>
          </w:tcPr>
          <w:p w14:paraId="7267E2BB">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养老机构备案</w:t>
            </w:r>
          </w:p>
        </w:tc>
        <w:tc>
          <w:tcPr>
            <w:tcW w:w="432" w:type="dxa"/>
            <w:vAlign w:val="center"/>
          </w:tcPr>
          <w:p w14:paraId="654E1BE3">
            <w:pPr>
              <w:rPr>
                <w:rFonts w:ascii="Times New Roman" w:hAnsi="宋体"/>
                <w:b/>
                <w:kern w:val="0"/>
                <w:sz w:val="18"/>
                <w:szCs w:val="18"/>
              </w:rPr>
            </w:pPr>
          </w:p>
        </w:tc>
      </w:tr>
      <w:tr w14:paraId="0AD1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504" w:type="dxa"/>
            <w:vMerge w:val="restart"/>
            <w:vAlign w:val="center"/>
          </w:tcPr>
          <w:p w14:paraId="6F791B76">
            <w:pPr>
              <w:jc w:val="center"/>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2</w:t>
            </w:r>
          </w:p>
        </w:tc>
        <w:tc>
          <w:tcPr>
            <w:tcW w:w="1246" w:type="dxa"/>
            <w:vMerge w:val="restart"/>
            <w:vAlign w:val="center"/>
          </w:tcPr>
          <w:p w14:paraId="12976580">
            <w:pPr>
              <w:overflowPunct w:val="0"/>
              <w:autoSpaceDE w:val="0"/>
              <w:autoSpaceDN w:val="0"/>
              <w:rPr>
                <w:rFonts w:hint="eastAsia" w:ascii="宋体" w:hAnsi="宋体" w:eastAsia="宋体" w:cs="宋体"/>
                <w:b w:val="0"/>
                <w:bCs w:val="0"/>
                <w:kern w:val="0"/>
                <w:sz w:val="18"/>
                <w:szCs w:val="18"/>
                <w:shd w:val="clear" w:color="auto" w:fill="FFFFFF"/>
              </w:rPr>
            </w:pPr>
            <w:r>
              <w:rPr>
                <w:rFonts w:hint="eastAsia" w:ascii="宋体" w:hAnsi="宋体" w:eastAsia="宋体" w:cs="宋体"/>
                <w:b w:val="0"/>
                <w:bCs w:val="0"/>
                <w:kern w:val="0"/>
                <w:sz w:val="18"/>
                <w:szCs w:val="18"/>
                <w:shd w:val="clear" w:color="auto" w:fill="FFFFFF"/>
              </w:rPr>
              <w:t>对社会组织依法开展活动情况的</w:t>
            </w:r>
            <w:r>
              <w:rPr>
                <w:rFonts w:hint="eastAsia" w:ascii="宋体" w:hAnsi="宋体" w:eastAsia="宋体" w:cs="宋体"/>
                <w:b w:val="0"/>
                <w:bCs w:val="0"/>
                <w:color w:val="auto"/>
                <w:kern w:val="0"/>
                <w:sz w:val="18"/>
                <w:szCs w:val="18"/>
                <w:shd w:val="clear" w:color="auto" w:fill="FFFFFF"/>
              </w:rPr>
              <w:t>行政检查</w:t>
            </w:r>
          </w:p>
        </w:tc>
        <w:tc>
          <w:tcPr>
            <w:tcW w:w="793" w:type="dxa"/>
            <w:vMerge w:val="restart"/>
            <w:vAlign w:val="center"/>
          </w:tcPr>
          <w:p w14:paraId="2F5E5453">
            <w:pPr>
              <w:overflowPunct w:val="0"/>
              <w:autoSpaceDE w:val="0"/>
              <w:autoSpaceDN w:val="0"/>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苏州市吴中区民政局</w:t>
            </w:r>
          </w:p>
        </w:tc>
        <w:tc>
          <w:tcPr>
            <w:tcW w:w="775" w:type="dxa"/>
            <w:vMerge w:val="restart"/>
            <w:vAlign w:val="center"/>
          </w:tcPr>
          <w:p w14:paraId="0859700D">
            <w:pPr>
              <w:overflowPunct w:val="0"/>
              <w:autoSpaceDE w:val="0"/>
              <w:autoSpaceDN w:val="0"/>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苏州市吴中区民政局</w:t>
            </w:r>
          </w:p>
        </w:tc>
        <w:tc>
          <w:tcPr>
            <w:tcW w:w="950" w:type="dxa"/>
            <w:vMerge w:val="restart"/>
            <w:vAlign w:val="center"/>
          </w:tcPr>
          <w:p w14:paraId="733196D2">
            <w:pPr>
              <w:overflowPunct w:val="0"/>
              <w:autoSpaceDE w:val="0"/>
              <w:autoSpaceDN w:val="0"/>
              <w:spacing w:line="320" w:lineRule="exact"/>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社会组织</w:t>
            </w:r>
          </w:p>
        </w:tc>
        <w:tc>
          <w:tcPr>
            <w:tcW w:w="4605" w:type="dxa"/>
            <w:vMerge w:val="restart"/>
            <w:vAlign w:val="center"/>
          </w:tcPr>
          <w:p w14:paraId="27A6FF40">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【法规】《社会团体登记管理条例》（2026年修订）</w:t>
            </w:r>
          </w:p>
          <w:p w14:paraId="0070FB7E">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第二十四条 登记管理机关履行下列监督管理职责：</w:t>
            </w:r>
          </w:p>
          <w:p w14:paraId="10C2158B">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（一）负责社会团体的成立、变更、注销的登记；</w:t>
            </w:r>
          </w:p>
          <w:p w14:paraId="7C324AA2">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（二）对社会团体实施年度检查；</w:t>
            </w:r>
          </w:p>
          <w:p w14:paraId="7AEDB454">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（三）对社会团体违反本条例的问题进行监督检查，对社会团体违反本条例的行为给予行政处罚。</w:t>
            </w:r>
          </w:p>
          <w:p w14:paraId="615BDC7C">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【法规】《民办非企业单位登记管理暂行条例》</w:t>
            </w:r>
          </w:p>
          <w:p w14:paraId="60DDF35F">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第十九条 登记管理机关履行下列监督管理职责：</w:t>
            </w:r>
          </w:p>
          <w:p w14:paraId="06474C53">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（一）负责民办非企业单位的成立、变更、注销登记；</w:t>
            </w:r>
          </w:p>
          <w:p w14:paraId="425CCBDA">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（二）对民办非企业单位实施年度检查；</w:t>
            </w:r>
          </w:p>
          <w:p w14:paraId="7D3C89C8">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（三）对民办非企业单位违反本条例的问题进行监督检查，对民办非企业单位违反本条例的行为给予行政处罚。</w:t>
            </w:r>
          </w:p>
          <w:p w14:paraId="0DC0EF7D">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【法规】《基金会管理条例》</w:t>
            </w:r>
          </w:p>
          <w:p w14:paraId="3463CAE6">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第三十四条 基金会登记管理机关履行下列监督管理职责：</w:t>
            </w:r>
          </w:p>
          <w:p w14:paraId="770EDEFA">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（一）对基金会、境外基金会代表机构实施年度检查；</w:t>
            </w:r>
          </w:p>
          <w:p w14:paraId="4EEA9D50">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（二）对基金会、境外基金会代表机构依照本条例及其章程开展活动的情况进行日常监督管理</w:t>
            </w:r>
          </w:p>
          <w:p w14:paraId="15573B22">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（三）对基金会、境外基金会代表机构违反本条例的行为依法进行处罚。</w:t>
            </w:r>
          </w:p>
        </w:tc>
        <w:tc>
          <w:tcPr>
            <w:tcW w:w="1200" w:type="dxa"/>
            <w:vMerge w:val="restart"/>
            <w:vAlign w:val="center"/>
          </w:tcPr>
          <w:p w14:paraId="79E05FBE">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现场检查与非现场检查结合</w:t>
            </w:r>
          </w:p>
        </w:tc>
        <w:tc>
          <w:tcPr>
            <w:tcW w:w="1100" w:type="dxa"/>
            <w:vMerge w:val="restart"/>
            <w:vAlign w:val="center"/>
          </w:tcPr>
          <w:p w14:paraId="1613FE7E">
            <w:pPr>
              <w:jc w:val="center"/>
              <w:rPr>
                <w:rFonts w:hint="eastAsia" w:ascii="宋体" w:hAnsi="宋体" w:eastAsia="宋体" w:cs="宋体"/>
                <w:b w:val="0"/>
                <w:bCs w:val="0"/>
                <w:kern w:val="0"/>
                <w:sz w:val="18"/>
                <w:szCs w:val="18"/>
                <w:shd w:val="clear" w:color="auto" w:fill="FFFFFF"/>
                <w:lang w:val="en-US" w:eastAsia="zh-CN"/>
              </w:rPr>
            </w:pPr>
            <w:r>
              <w:rPr>
                <w:rFonts w:hint="eastAsia" w:ascii="宋体" w:hAnsi="宋体" w:eastAsia="宋体" w:cs="宋体"/>
                <w:b w:val="0"/>
                <w:bCs w:val="0"/>
                <w:kern w:val="0"/>
                <w:sz w:val="18"/>
                <w:szCs w:val="18"/>
                <w:shd w:val="clear" w:color="auto" w:fill="FFFFFF"/>
                <w:lang w:val="en-US" w:eastAsia="zh-CN"/>
              </w:rPr>
              <w:t>1-12月</w:t>
            </w:r>
          </w:p>
        </w:tc>
        <w:tc>
          <w:tcPr>
            <w:tcW w:w="1370" w:type="dxa"/>
            <w:vAlign w:val="center"/>
          </w:tcPr>
          <w:p w14:paraId="5AB8833D">
            <w:pPr>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000111001000</w:t>
            </w:r>
          </w:p>
        </w:tc>
        <w:tc>
          <w:tcPr>
            <w:tcW w:w="1220" w:type="dxa"/>
            <w:vAlign w:val="center"/>
          </w:tcPr>
          <w:p w14:paraId="2BC5B5CA">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社会团体成立、变更、注销登记</w:t>
            </w:r>
          </w:p>
        </w:tc>
        <w:tc>
          <w:tcPr>
            <w:tcW w:w="432" w:type="dxa"/>
            <w:vAlign w:val="center"/>
          </w:tcPr>
          <w:p w14:paraId="395EFBAA">
            <w:pPr>
              <w:rPr>
                <w:rFonts w:ascii="Times New Roman" w:hAnsi="宋体"/>
                <w:b/>
                <w:kern w:val="0"/>
                <w:sz w:val="18"/>
                <w:szCs w:val="18"/>
              </w:rPr>
            </w:pPr>
          </w:p>
        </w:tc>
      </w:tr>
      <w:tr w14:paraId="1FCD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504" w:type="dxa"/>
            <w:vMerge w:val="continue"/>
            <w:vAlign w:val="center"/>
          </w:tcPr>
          <w:p w14:paraId="730E5AAC">
            <w:pPr>
              <w:jc w:val="center"/>
              <w:rPr>
                <w:rFonts w:hint="eastAsia" w:ascii="宋体" w:hAnsi="宋体" w:eastAsia="宋体" w:cs="宋体"/>
                <w:b w:val="0"/>
                <w:bCs w:val="0"/>
                <w:kern w:val="0"/>
                <w:sz w:val="18"/>
                <w:szCs w:val="18"/>
                <w:lang w:val="en-US" w:eastAsia="zh-CN"/>
              </w:rPr>
            </w:pPr>
          </w:p>
        </w:tc>
        <w:tc>
          <w:tcPr>
            <w:tcW w:w="1246" w:type="dxa"/>
            <w:vMerge w:val="continue"/>
            <w:vAlign w:val="center"/>
          </w:tcPr>
          <w:p w14:paraId="30C98F72">
            <w:pPr>
              <w:overflowPunct w:val="0"/>
              <w:autoSpaceDE w:val="0"/>
              <w:autoSpaceDN w:val="0"/>
              <w:rPr>
                <w:rFonts w:hint="eastAsia" w:ascii="宋体" w:hAnsi="宋体" w:eastAsia="宋体" w:cs="宋体"/>
                <w:b w:val="0"/>
                <w:bCs w:val="0"/>
                <w:kern w:val="0"/>
                <w:sz w:val="18"/>
                <w:szCs w:val="18"/>
                <w:shd w:val="clear" w:color="auto" w:fill="FFFFFF"/>
              </w:rPr>
            </w:pPr>
          </w:p>
        </w:tc>
        <w:tc>
          <w:tcPr>
            <w:tcW w:w="793" w:type="dxa"/>
            <w:vMerge w:val="continue"/>
            <w:vAlign w:val="center"/>
          </w:tcPr>
          <w:p w14:paraId="046DA062">
            <w:pPr>
              <w:overflowPunct w:val="0"/>
              <w:autoSpaceDE w:val="0"/>
              <w:autoSpaceDN w:val="0"/>
              <w:rPr>
                <w:rFonts w:hint="eastAsia" w:ascii="宋体" w:hAnsi="宋体" w:eastAsia="宋体" w:cs="宋体"/>
                <w:b w:val="0"/>
                <w:bCs w:val="0"/>
                <w:kern w:val="0"/>
                <w:sz w:val="18"/>
                <w:szCs w:val="18"/>
                <w:lang w:val="en-US" w:eastAsia="zh-CN"/>
              </w:rPr>
            </w:pPr>
          </w:p>
        </w:tc>
        <w:tc>
          <w:tcPr>
            <w:tcW w:w="775" w:type="dxa"/>
            <w:vMerge w:val="continue"/>
            <w:vAlign w:val="center"/>
          </w:tcPr>
          <w:p w14:paraId="1B58C16E">
            <w:pPr>
              <w:overflowPunct w:val="0"/>
              <w:autoSpaceDE w:val="0"/>
              <w:autoSpaceDN w:val="0"/>
              <w:rPr>
                <w:rFonts w:hint="eastAsia" w:ascii="宋体" w:hAnsi="宋体" w:eastAsia="宋体" w:cs="宋体"/>
                <w:b w:val="0"/>
                <w:bCs w:val="0"/>
                <w:kern w:val="0"/>
                <w:sz w:val="18"/>
                <w:szCs w:val="18"/>
                <w:lang w:val="en-US" w:eastAsia="zh-CN"/>
              </w:rPr>
            </w:pPr>
          </w:p>
        </w:tc>
        <w:tc>
          <w:tcPr>
            <w:tcW w:w="950" w:type="dxa"/>
            <w:vMerge w:val="continue"/>
            <w:vAlign w:val="center"/>
          </w:tcPr>
          <w:p w14:paraId="39E91B76">
            <w:pPr>
              <w:overflowPunct w:val="0"/>
              <w:autoSpaceDE w:val="0"/>
              <w:autoSpaceDN w:val="0"/>
              <w:spacing w:line="320" w:lineRule="exact"/>
              <w:rPr>
                <w:rFonts w:hint="eastAsia" w:ascii="宋体" w:hAnsi="宋体" w:eastAsia="宋体" w:cs="宋体"/>
                <w:b w:val="0"/>
                <w:bCs w:val="0"/>
                <w:kern w:val="0"/>
                <w:sz w:val="18"/>
                <w:szCs w:val="18"/>
                <w:lang w:val="en-US" w:eastAsia="zh-CN"/>
              </w:rPr>
            </w:pPr>
          </w:p>
        </w:tc>
        <w:tc>
          <w:tcPr>
            <w:tcW w:w="4605" w:type="dxa"/>
            <w:vMerge w:val="continue"/>
            <w:vAlign w:val="center"/>
          </w:tcPr>
          <w:p w14:paraId="6C559DC6">
            <w:pPr>
              <w:ind w:firstLine="360" w:firstLineChars="200"/>
              <w:rPr>
                <w:rFonts w:hint="eastAsia" w:ascii="宋体" w:hAnsi="宋体" w:eastAsia="宋体" w:cs="宋体"/>
                <w:b w:val="0"/>
                <w:bCs w:val="0"/>
                <w:kern w:val="0"/>
                <w:sz w:val="18"/>
                <w:szCs w:val="18"/>
              </w:rPr>
            </w:pPr>
          </w:p>
        </w:tc>
        <w:tc>
          <w:tcPr>
            <w:tcW w:w="1200" w:type="dxa"/>
            <w:vMerge w:val="continue"/>
            <w:vAlign w:val="center"/>
          </w:tcPr>
          <w:p w14:paraId="1C794468">
            <w:pPr>
              <w:rPr>
                <w:rFonts w:hint="eastAsia" w:ascii="宋体" w:hAnsi="宋体" w:eastAsia="宋体" w:cs="宋体"/>
                <w:b w:val="0"/>
                <w:bCs w:val="0"/>
                <w:kern w:val="0"/>
                <w:sz w:val="18"/>
                <w:szCs w:val="18"/>
              </w:rPr>
            </w:pPr>
          </w:p>
        </w:tc>
        <w:tc>
          <w:tcPr>
            <w:tcW w:w="1100" w:type="dxa"/>
            <w:vMerge w:val="continue"/>
            <w:vAlign w:val="center"/>
          </w:tcPr>
          <w:p w14:paraId="4D05D5F9">
            <w:pPr>
              <w:jc w:val="center"/>
              <w:rPr>
                <w:rFonts w:hint="eastAsia" w:ascii="宋体" w:hAnsi="宋体" w:eastAsia="宋体" w:cs="宋体"/>
                <w:b w:val="0"/>
                <w:bCs w:val="0"/>
                <w:kern w:val="0"/>
                <w:sz w:val="18"/>
                <w:szCs w:val="18"/>
                <w:shd w:val="clear" w:color="auto" w:fill="FFFFFF"/>
                <w:lang w:val="en-US" w:eastAsia="zh-CN"/>
              </w:rPr>
            </w:pPr>
          </w:p>
        </w:tc>
        <w:tc>
          <w:tcPr>
            <w:tcW w:w="1370" w:type="dxa"/>
            <w:vAlign w:val="center"/>
          </w:tcPr>
          <w:p w14:paraId="5BCC00C8">
            <w:pPr>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000111003000</w:t>
            </w:r>
          </w:p>
        </w:tc>
        <w:tc>
          <w:tcPr>
            <w:tcW w:w="1220" w:type="dxa"/>
            <w:vAlign w:val="center"/>
          </w:tcPr>
          <w:p w14:paraId="319E7612">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民办非企业单位成立、变更、注销登记</w:t>
            </w:r>
          </w:p>
        </w:tc>
        <w:tc>
          <w:tcPr>
            <w:tcW w:w="432" w:type="dxa"/>
            <w:vAlign w:val="center"/>
          </w:tcPr>
          <w:p w14:paraId="113E2116">
            <w:pPr>
              <w:rPr>
                <w:rFonts w:ascii="Times New Roman" w:hAnsi="宋体"/>
                <w:b/>
                <w:kern w:val="0"/>
                <w:sz w:val="18"/>
                <w:szCs w:val="18"/>
              </w:rPr>
            </w:pPr>
          </w:p>
        </w:tc>
      </w:tr>
      <w:tr w14:paraId="13AC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504" w:type="dxa"/>
            <w:vMerge w:val="continue"/>
            <w:vAlign w:val="center"/>
          </w:tcPr>
          <w:p w14:paraId="33C4E520">
            <w:pPr>
              <w:jc w:val="center"/>
              <w:rPr>
                <w:rFonts w:hint="eastAsia" w:ascii="宋体" w:hAnsi="宋体" w:eastAsia="宋体" w:cs="宋体"/>
                <w:b w:val="0"/>
                <w:bCs w:val="0"/>
                <w:kern w:val="0"/>
                <w:sz w:val="18"/>
                <w:szCs w:val="18"/>
                <w:lang w:val="en-US" w:eastAsia="zh-CN"/>
              </w:rPr>
            </w:pPr>
          </w:p>
        </w:tc>
        <w:tc>
          <w:tcPr>
            <w:tcW w:w="1246" w:type="dxa"/>
            <w:vMerge w:val="continue"/>
            <w:vAlign w:val="center"/>
          </w:tcPr>
          <w:p w14:paraId="5D74BB75">
            <w:pPr>
              <w:overflowPunct w:val="0"/>
              <w:autoSpaceDE w:val="0"/>
              <w:autoSpaceDN w:val="0"/>
              <w:rPr>
                <w:rFonts w:hint="eastAsia" w:ascii="宋体" w:hAnsi="宋体" w:eastAsia="宋体" w:cs="宋体"/>
                <w:b w:val="0"/>
                <w:bCs w:val="0"/>
                <w:kern w:val="0"/>
                <w:sz w:val="18"/>
                <w:szCs w:val="18"/>
                <w:shd w:val="clear" w:color="auto" w:fill="FFFFFF"/>
              </w:rPr>
            </w:pPr>
          </w:p>
        </w:tc>
        <w:tc>
          <w:tcPr>
            <w:tcW w:w="793" w:type="dxa"/>
            <w:vMerge w:val="continue"/>
            <w:vAlign w:val="center"/>
          </w:tcPr>
          <w:p w14:paraId="73AB1D62">
            <w:pPr>
              <w:overflowPunct w:val="0"/>
              <w:autoSpaceDE w:val="0"/>
              <w:autoSpaceDN w:val="0"/>
              <w:rPr>
                <w:rFonts w:hint="eastAsia" w:ascii="宋体" w:hAnsi="宋体" w:eastAsia="宋体" w:cs="宋体"/>
                <w:b w:val="0"/>
                <w:bCs w:val="0"/>
                <w:kern w:val="0"/>
                <w:sz w:val="18"/>
                <w:szCs w:val="18"/>
                <w:lang w:val="en-US" w:eastAsia="zh-CN"/>
              </w:rPr>
            </w:pPr>
          </w:p>
        </w:tc>
        <w:tc>
          <w:tcPr>
            <w:tcW w:w="775" w:type="dxa"/>
            <w:vMerge w:val="continue"/>
            <w:vAlign w:val="center"/>
          </w:tcPr>
          <w:p w14:paraId="4212A288">
            <w:pPr>
              <w:overflowPunct w:val="0"/>
              <w:autoSpaceDE w:val="0"/>
              <w:autoSpaceDN w:val="0"/>
              <w:rPr>
                <w:rFonts w:hint="eastAsia" w:ascii="宋体" w:hAnsi="宋体" w:eastAsia="宋体" w:cs="宋体"/>
                <w:b w:val="0"/>
                <w:bCs w:val="0"/>
                <w:kern w:val="0"/>
                <w:sz w:val="18"/>
                <w:szCs w:val="18"/>
                <w:lang w:val="en-US" w:eastAsia="zh-CN"/>
              </w:rPr>
            </w:pPr>
          </w:p>
        </w:tc>
        <w:tc>
          <w:tcPr>
            <w:tcW w:w="950" w:type="dxa"/>
            <w:vMerge w:val="continue"/>
            <w:vAlign w:val="center"/>
          </w:tcPr>
          <w:p w14:paraId="0972C655">
            <w:pPr>
              <w:overflowPunct w:val="0"/>
              <w:autoSpaceDE w:val="0"/>
              <w:autoSpaceDN w:val="0"/>
              <w:spacing w:line="320" w:lineRule="exact"/>
              <w:rPr>
                <w:rFonts w:hint="eastAsia" w:ascii="宋体" w:hAnsi="宋体" w:eastAsia="宋体" w:cs="宋体"/>
                <w:b w:val="0"/>
                <w:bCs w:val="0"/>
                <w:kern w:val="0"/>
                <w:sz w:val="18"/>
                <w:szCs w:val="18"/>
                <w:lang w:val="en-US" w:eastAsia="zh-CN"/>
              </w:rPr>
            </w:pPr>
          </w:p>
        </w:tc>
        <w:tc>
          <w:tcPr>
            <w:tcW w:w="4605" w:type="dxa"/>
            <w:vMerge w:val="continue"/>
            <w:vAlign w:val="center"/>
          </w:tcPr>
          <w:p w14:paraId="65C20F95">
            <w:pPr>
              <w:ind w:firstLine="360" w:firstLineChars="200"/>
              <w:rPr>
                <w:rFonts w:hint="eastAsia" w:ascii="宋体" w:hAnsi="宋体" w:eastAsia="宋体" w:cs="宋体"/>
                <w:b w:val="0"/>
                <w:bCs w:val="0"/>
                <w:kern w:val="0"/>
                <w:sz w:val="18"/>
                <w:szCs w:val="18"/>
              </w:rPr>
            </w:pPr>
          </w:p>
        </w:tc>
        <w:tc>
          <w:tcPr>
            <w:tcW w:w="1200" w:type="dxa"/>
            <w:vMerge w:val="continue"/>
            <w:vAlign w:val="center"/>
          </w:tcPr>
          <w:p w14:paraId="769E54DD">
            <w:pPr>
              <w:rPr>
                <w:rFonts w:hint="eastAsia" w:ascii="宋体" w:hAnsi="宋体" w:eastAsia="宋体" w:cs="宋体"/>
                <w:b w:val="0"/>
                <w:bCs w:val="0"/>
                <w:kern w:val="0"/>
                <w:sz w:val="18"/>
                <w:szCs w:val="18"/>
              </w:rPr>
            </w:pPr>
          </w:p>
        </w:tc>
        <w:tc>
          <w:tcPr>
            <w:tcW w:w="1100" w:type="dxa"/>
            <w:vMerge w:val="continue"/>
            <w:vAlign w:val="center"/>
          </w:tcPr>
          <w:p w14:paraId="1AD34317">
            <w:pPr>
              <w:jc w:val="center"/>
              <w:rPr>
                <w:rFonts w:hint="eastAsia" w:ascii="宋体" w:hAnsi="宋体" w:eastAsia="宋体" w:cs="宋体"/>
                <w:b w:val="0"/>
                <w:bCs w:val="0"/>
                <w:kern w:val="0"/>
                <w:sz w:val="18"/>
                <w:szCs w:val="18"/>
                <w:shd w:val="clear" w:color="auto" w:fill="FFFFFF"/>
                <w:lang w:val="en-US" w:eastAsia="zh-CN"/>
              </w:rPr>
            </w:pPr>
          </w:p>
        </w:tc>
        <w:tc>
          <w:tcPr>
            <w:tcW w:w="1370" w:type="dxa"/>
            <w:vAlign w:val="center"/>
          </w:tcPr>
          <w:p w14:paraId="1CE3FBF9">
            <w:pPr>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000111005000</w:t>
            </w:r>
          </w:p>
        </w:tc>
        <w:tc>
          <w:tcPr>
            <w:tcW w:w="1220" w:type="dxa"/>
            <w:vAlign w:val="center"/>
          </w:tcPr>
          <w:p w14:paraId="6A2CF6E0">
            <w:pP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基金会成立、变更、注销登记</w:t>
            </w:r>
          </w:p>
        </w:tc>
        <w:tc>
          <w:tcPr>
            <w:tcW w:w="432" w:type="dxa"/>
            <w:vAlign w:val="center"/>
          </w:tcPr>
          <w:p w14:paraId="38EE2962">
            <w:pPr>
              <w:rPr>
                <w:rFonts w:ascii="Times New Roman" w:hAnsi="宋体"/>
                <w:b/>
                <w:kern w:val="0"/>
                <w:sz w:val="18"/>
                <w:szCs w:val="18"/>
              </w:rPr>
            </w:pPr>
          </w:p>
        </w:tc>
      </w:tr>
      <w:tr w14:paraId="26C9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504" w:type="dxa"/>
            <w:vMerge w:val="restart"/>
            <w:vAlign w:val="center"/>
          </w:tcPr>
          <w:p w14:paraId="5865CA53">
            <w:pPr>
              <w:jc w:val="center"/>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3</w:t>
            </w:r>
          </w:p>
        </w:tc>
        <w:tc>
          <w:tcPr>
            <w:tcW w:w="1246" w:type="dxa"/>
            <w:vMerge w:val="restart"/>
            <w:vAlign w:val="center"/>
          </w:tcPr>
          <w:p w14:paraId="4FF06AD0">
            <w:pPr>
              <w:overflowPunct w:val="0"/>
              <w:autoSpaceDE w:val="0"/>
              <w:autoSpaceDN w:val="0"/>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对殡葬服务机构依法服务和运营的行政检查</w:t>
            </w:r>
          </w:p>
        </w:tc>
        <w:tc>
          <w:tcPr>
            <w:tcW w:w="793" w:type="dxa"/>
            <w:vMerge w:val="restart"/>
            <w:vAlign w:val="center"/>
          </w:tcPr>
          <w:p w14:paraId="62A095BA">
            <w:pPr>
              <w:overflowPunct w:val="0"/>
              <w:autoSpaceDE w:val="0"/>
              <w:autoSpaceDN w:val="0"/>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苏州市吴中区民政局</w:t>
            </w:r>
          </w:p>
        </w:tc>
        <w:tc>
          <w:tcPr>
            <w:tcW w:w="775" w:type="dxa"/>
            <w:vMerge w:val="restart"/>
            <w:vAlign w:val="center"/>
          </w:tcPr>
          <w:p w14:paraId="4DD33834">
            <w:pPr>
              <w:overflowPunct w:val="0"/>
              <w:autoSpaceDE w:val="0"/>
              <w:autoSpaceDN w:val="0"/>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lang w:val="en-US" w:eastAsia="zh-CN"/>
              </w:rPr>
              <w:t>苏州市吴中区民政局</w:t>
            </w:r>
          </w:p>
        </w:tc>
        <w:tc>
          <w:tcPr>
            <w:tcW w:w="950" w:type="dxa"/>
            <w:vMerge w:val="restart"/>
            <w:vAlign w:val="center"/>
          </w:tcPr>
          <w:p w14:paraId="5811DDF8">
            <w:pPr>
              <w:overflowPunct w:val="0"/>
              <w:autoSpaceDE w:val="0"/>
              <w:autoSpaceDN w:val="0"/>
              <w:spacing w:line="320" w:lineRule="exact"/>
              <w:rPr>
                <w:rFonts w:hint="eastAsia" w:ascii="宋体" w:hAnsi="宋体" w:eastAsia="宋体" w:cs="宋体"/>
                <w:b w:val="0"/>
                <w:bCs w:val="0"/>
                <w:kern w:val="0"/>
                <w:sz w:val="18"/>
                <w:szCs w:val="18"/>
                <w:lang w:val="en-US" w:eastAsia="zh-CN"/>
              </w:rPr>
            </w:pPr>
            <w:r>
              <w:rPr>
                <w:rFonts w:hint="eastAsia" w:ascii="宋体" w:hAnsi="宋体" w:eastAsia="宋体" w:cs="宋体"/>
                <w:b w:val="0"/>
                <w:bCs w:val="0"/>
                <w:kern w:val="0"/>
                <w:sz w:val="18"/>
                <w:szCs w:val="18"/>
                <w:lang w:val="en-US" w:eastAsia="zh-CN"/>
              </w:rPr>
              <w:t>公墓、骨灰堂、殡仪馆</w:t>
            </w:r>
          </w:p>
        </w:tc>
        <w:tc>
          <w:tcPr>
            <w:tcW w:w="4605" w:type="dxa"/>
            <w:vMerge w:val="restart"/>
            <w:vAlign w:val="center"/>
          </w:tcPr>
          <w:p w14:paraId="2B61F98A">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【法</w:t>
            </w:r>
            <w:r>
              <w:rPr>
                <w:rFonts w:hint="eastAsia" w:ascii="Times New Roman" w:hAnsi="Times New Roman"/>
                <w:kern w:val="0"/>
                <w:sz w:val="18"/>
                <w:szCs w:val="18"/>
                <w:lang w:val="en-US" w:eastAsia="zh-CN"/>
              </w:rPr>
              <w:t>规</w:t>
            </w:r>
            <w:r>
              <w:rPr>
                <w:rFonts w:hint="eastAsia" w:ascii="Times New Roman" w:hAnsi="Times New Roman" w:eastAsia="宋体"/>
                <w:kern w:val="0"/>
                <w:sz w:val="18"/>
                <w:szCs w:val="18"/>
                <w:lang w:val="en-US" w:eastAsia="zh-CN"/>
              </w:rPr>
              <w:t>】《殡葬管理条例》</w:t>
            </w:r>
          </w:p>
          <w:p w14:paraId="6C3D7609">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第五十六条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0299B0AE">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（一）违反本条例规定接运、存放、火化遗体，或者未按规定保存相关视频图像信息；</w:t>
            </w:r>
          </w:p>
          <w:p w14:paraId="7CA9813C">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（二）违反本条例规定出具火化证明或者虚开、伪造、倒卖火化证明；</w:t>
            </w:r>
          </w:p>
          <w:p w14:paraId="59B09273">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（三）违反本条例规定提供骨灰格位、墓位，设置违背公序良俗的标志物；</w:t>
            </w:r>
          </w:p>
          <w:p w14:paraId="63395188">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（四）未按照本条例规定报送年度工作报告、财务审计报告或者接受监督检查；</w:t>
            </w:r>
          </w:p>
          <w:p w14:paraId="6777DFD8">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（五）法律法规规定的其他情形。</w:t>
            </w:r>
          </w:p>
          <w:p w14:paraId="09424B6A">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第五十七条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在骨灰堂内设置私人祠堂的，在公墓内提供超规定标准墓位、变相扩大墓位占地面积，或者使用高档材料的，由县级以上地方人民政府民政部门责令限期改正，给予警告，没收违法所得；没有违法所得或者违法所得不足50万元的，视情节轻重、危害程度等情况处10万元以上100万元以下的罚款；违法所得50万元以上的，处违法所得2倍以上5倍以下的罚款。对负有责任的领导人员和直接责任人员，依法给予处分。</w:t>
            </w:r>
          </w:p>
          <w:p w14:paraId="3482CB30">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第五十八条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违反规定擅自建设殡葬设施的，或者擅自变更殡葬设施占地面积、用途的，依照城乡规划、土地管理等有关法律、行政法规给予处罚。</w:t>
            </w:r>
          </w:p>
          <w:p w14:paraId="6D56ED72">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第五十九条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农村公益性墓地以营利为目的提供墓穴用地或者墓位的，由县级人民政府民政部门责令改正；有违法所得的，没收违法所得，并处违法所得1倍以上5倍以下的罚款。对负有责任的领导人员和直接责任人员，依法给予处分。</w:t>
            </w:r>
          </w:p>
          <w:p w14:paraId="36D55E9A">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第六十条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将应当火化的遗体土葬，或者在公墓、农村公益性墓地以及依法实施生态安葬的区域以外的地方埋葬遗体、建造坟墓的，由县级以上地方人民政府民政部门责令限期改正。</w:t>
            </w:r>
          </w:p>
          <w:p w14:paraId="6DD5A961">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第六十一条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建立或者恢复宗族墓地的，由县级以上地方人民政府民政部门责令限期改正，并视情节轻重、危害程度等情况处1万元以上5万元以下的罚款。</w:t>
            </w:r>
          </w:p>
          <w:p w14:paraId="76A1EB3D">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第六十二条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违反本条例规定在禁止区域建造坟墓的，依照土地管理、森林等有关法律、行政法规给予处罚。</w:t>
            </w:r>
          </w:p>
          <w:p w14:paraId="6DC98AAF">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第六十三条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有下列情形之一的，由县级以上地方人民政府民政部门会同市场监管部门责令改正，没收违法所得；没有违法所得或者违法所得不足10万元的，处3万元以上20万元以下的罚款；违法所得10万元以上的，处违法所得2倍以上5倍以下的罚款：</w:t>
            </w:r>
          </w:p>
          <w:p w14:paraId="68F205A3">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（一）制造、销售、使用不符合强制性标准的殡葬设备；</w:t>
            </w:r>
          </w:p>
          <w:p w14:paraId="4EB6E5B2">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（二）制造、销售违反法律法规或者违背公序良俗的丧葬用品；</w:t>
            </w:r>
          </w:p>
          <w:p w14:paraId="5944E42E">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（三）向实行火葬的地区销售棺材等土葬用品。</w:t>
            </w:r>
          </w:p>
          <w:p w14:paraId="743B2048">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丧葬用品仿制或者使用人民币图样的，依照人民币管理有关法律、行政法规给予处罚。</w:t>
            </w:r>
          </w:p>
          <w:p w14:paraId="5F638B0A">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第六十五条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其他组织或者个人擅自进行遗体接运、存放、防腐、整容、火化的，由县级以上地方人民政府民政部门责令改正，给予警告，没收违法所得；没有违法所得或者违法所得不足10万元的，处5万元以上20万元以下的罚款；违法所得10万元以上的，处违法所得2倍以上5倍以下的罚款。</w:t>
            </w:r>
          </w:p>
          <w:p w14:paraId="599090A3">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第六十六条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将居民住宅专门用于安放骨灰造成不良影响，或者违反本条例规定办理丧事活动的，由县级以上地方人民政府民政部门会同有关部门依照职责责令改正，进行教育。</w:t>
            </w:r>
          </w:p>
          <w:p w14:paraId="3E168D89">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第六十七条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从事殡葬相关服务活动的组织和个人，存在损害丧属权益行为的，应当依法承担民事责任。违反其他法律法规的，按照有关规定处理。</w:t>
            </w:r>
          </w:p>
          <w:p w14:paraId="7B9ABDFF">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第七十条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县级以上地方人民政府以及有关部门工作人员、殡葬服务机构工作人员在殡葬工作中有下列行为之一的，依法给予处分：</w:t>
            </w:r>
          </w:p>
          <w:p w14:paraId="4DB33924">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（一）在殡葬设施建设、殡葬设备采购、丧葬用品采购以及销售等事项上为他人谋取利益；</w:t>
            </w:r>
          </w:p>
          <w:p w14:paraId="61388502">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（二）利用工作之便索取或者非法收受财物；</w:t>
            </w:r>
          </w:p>
          <w:p w14:paraId="1C1B2D7B">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（三）对不符合本条例规定的殡葬设施予以批准、建设；</w:t>
            </w:r>
          </w:p>
          <w:p w14:paraId="70B3C7CA">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（四）对违法问题隐瞒不报或者处置不当，造成生态破坏、公共财产损失或者不良社会影响；</w:t>
            </w:r>
          </w:p>
          <w:p w14:paraId="565A1D37">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（五）其他滥用职权、玩忽职守、徇私舞弊行为。</w:t>
            </w:r>
          </w:p>
          <w:p w14:paraId="4012909A">
            <w:pPr>
              <w:overflowPunct w:val="0"/>
              <w:autoSpaceDE w:val="0"/>
              <w:autoSpaceDN w:val="0"/>
              <w:rPr>
                <w:rFonts w:hint="eastAsia" w:ascii="Times New Roman" w:hAnsi="Times New Roman" w:eastAsia="宋体"/>
                <w:kern w:val="0"/>
                <w:sz w:val="18"/>
                <w:szCs w:val="18"/>
                <w:lang w:val="en-US" w:eastAsia="zh-CN"/>
              </w:rPr>
            </w:pPr>
            <w:r>
              <w:rPr>
                <w:rFonts w:hint="eastAsia" w:ascii="Times New Roman" w:hAnsi="Times New Roman" w:eastAsia="宋体"/>
                <w:kern w:val="0"/>
                <w:sz w:val="18"/>
                <w:szCs w:val="18"/>
                <w:lang w:val="en-US" w:eastAsia="zh-CN"/>
              </w:rPr>
              <w:t>利用工作之便索取或者非法收受的财物，应当予以没收、追缴或者责令退赔。</w:t>
            </w:r>
          </w:p>
          <w:p w14:paraId="409B3A32">
            <w:pPr>
              <w:rPr>
                <w:rFonts w:hint="eastAsia" w:ascii="宋体" w:hAnsi="宋体" w:eastAsia="宋体" w:cs="宋体"/>
                <w:b w:val="0"/>
                <w:bCs w:val="0"/>
                <w:kern w:val="0"/>
                <w:sz w:val="18"/>
                <w:szCs w:val="18"/>
              </w:rPr>
            </w:pPr>
            <w:r>
              <w:rPr>
                <w:rFonts w:hint="eastAsia" w:ascii="Times New Roman" w:hAnsi="Times New Roman" w:eastAsia="宋体"/>
                <w:kern w:val="0"/>
                <w:sz w:val="18"/>
                <w:szCs w:val="18"/>
                <w:lang w:val="en-US" w:eastAsia="zh-CN"/>
              </w:rPr>
              <w:t>第七十一条</w:t>
            </w:r>
            <w:r>
              <w:rPr>
                <w:rFonts w:hint="eastAsia" w:ascii="Times New Roman" w:hAnsi="Times New Roman"/>
                <w:kern w:val="0"/>
                <w:sz w:val="18"/>
                <w:szCs w:val="18"/>
                <w:lang w:val="en-US" w:eastAsia="zh-CN"/>
              </w:rPr>
              <w:t xml:space="preserve"> </w:t>
            </w:r>
            <w:r>
              <w:rPr>
                <w:rFonts w:hint="eastAsia" w:ascii="Times New Roman" w:hAnsi="Times New Roman" w:eastAsia="宋体"/>
                <w:kern w:val="0"/>
                <w:sz w:val="18"/>
                <w:szCs w:val="18"/>
                <w:lang w:val="en-US" w:eastAsia="zh-CN"/>
              </w:rPr>
              <w:t>在殡葬管理和服务中，发现有倒卖遗体、人体组织和器官等涉嫌犯罪行为的，应当依法移送公安机关查处。</w:t>
            </w:r>
          </w:p>
        </w:tc>
        <w:tc>
          <w:tcPr>
            <w:tcW w:w="1200" w:type="dxa"/>
            <w:vMerge w:val="restart"/>
            <w:vAlign w:val="center"/>
          </w:tcPr>
          <w:p w14:paraId="1E608DA7">
            <w:pPr>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rPr>
              <w:t>现场检查</w:t>
            </w:r>
          </w:p>
        </w:tc>
        <w:tc>
          <w:tcPr>
            <w:tcW w:w="1100" w:type="dxa"/>
            <w:vMerge w:val="restart"/>
            <w:vAlign w:val="center"/>
          </w:tcPr>
          <w:p w14:paraId="59A28271">
            <w:pPr>
              <w:jc w:val="center"/>
              <w:rPr>
                <w:rFonts w:hint="eastAsia" w:ascii="宋体" w:hAnsi="宋体" w:eastAsia="宋体" w:cs="宋体"/>
                <w:b w:val="0"/>
                <w:bCs w:val="0"/>
                <w:kern w:val="0"/>
                <w:sz w:val="18"/>
                <w:szCs w:val="18"/>
              </w:rPr>
            </w:pPr>
            <w:r>
              <w:rPr>
                <w:rFonts w:hint="eastAsia" w:ascii="宋体" w:hAnsi="宋体" w:eastAsia="宋体" w:cs="宋体"/>
                <w:b w:val="0"/>
                <w:bCs w:val="0"/>
                <w:kern w:val="0"/>
                <w:sz w:val="18"/>
                <w:szCs w:val="18"/>
                <w:shd w:val="clear" w:color="auto" w:fill="FFFFFF"/>
                <w:lang w:val="en-US" w:eastAsia="zh-CN"/>
              </w:rPr>
              <w:t>1</w:t>
            </w:r>
            <w:r>
              <w:rPr>
                <w:rFonts w:hint="eastAsia" w:ascii="宋体" w:hAnsi="宋体" w:eastAsia="宋体" w:cs="宋体"/>
                <w:b w:val="0"/>
                <w:bCs w:val="0"/>
                <w:kern w:val="0"/>
                <w:sz w:val="18"/>
                <w:szCs w:val="18"/>
                <w:shd w:val="clear" w:color="auto" w:fill="FFFFFF"/>
              </w:rPr>
              <w:t>-</w:t>
            </w:r>
            <w:r>
              <w:rPr>
                <w:rFonts w:hint="eastAsia" w:ascii="宋体" w:hAnsi="宋体" w:eastAsia="宋体" w:cs="宋体"/>
                <w:b w:val="0"/>
                <w:bCs w:val="0"/>
                <w:kern w:val="0"/>
                <w:sz w:val="18"/>
                <w:szCs w:val="18"/>
                <w:shd w:val="clear" w:color="auto" w:fill="FFFFFF"/>
                <w:lang w:val="en-US" w:eastAsia="zh-CN"/>
              </w:rPr>
              <w:t>12</w:t>
            </w:r>
            <w:r>
              <w:rPr>
                <w:rFonts w:hint="eastAsia" w:ascii="宋体" w:hAnsi="宋体" w:eastAsia="宋体" w:cs="宋体"/>
                <w:b w:val="0"/>
                <w:bCs w:val="0"/>
                <w:kern w:val="0"/>
                <w:sz w:val="18"/>
                <w:szCs w:val="18"/>
                <w:shd w:val="clear" w:color="auto" w:fill="FFFFFF"/>
              </w:rPr>
              <w:t>月</w:t>
            </w:r>
          </w:p>
        </w:tc>
        <w:tc>
          <w:tcPr>
            <w:tcW w:w="1370" w:type="dxa"/>
            <w:vAlign w:val="center"/>
          </w:tcPr>
          <w:p w14:paraId="633F7C53">
            <w:pPr>
              <w:jc w:val="center"/>
              <w:rPr>
                <w:rFonts w:hint="eastAsia" w:ascii="宋体" w:hAnsi="宋体" w:eastAsia="宋体" w:cs="宋体"/>
                <w:b w:val="0"/>
                <w:bCs w:val="0"/>
                <w:kern w:val="0"/>
                <w:sz w:val="18"/>
                <w:szCs w:val="18"/>
              </w:rPr>
            </w:pPr>
            <w:r>
              <w:rPr>
                <w:rFonts w:hint="eastAsia" w:ascii="Times New Roman" w:hAnsi="Times New Roman"/>
                <w:kern w:val="0"/>
                <w:sz w:val="18"/>
                <w:szCs w:val="18"/>
                <w:lang w:val="en-US" w:eastAsia="zh-CN"/>
              </w:rPr>
              <w:t>000111016000</w:t>
            </w:r>
          </w:p>
        </w:tc>
        <w:tc>
          <w:tcPr>
            <w:tcW w:w="1220" w:type="dxa"/>
            <w:vAlign w:val="center"/>
          </w:tcPr>
          <w:p w14:paraId="2FF3B39A">
            <w:pPr>
              <w:rPr>
                <w:rFonts w:hint="eastAsia" w:ascii="宋体" w:hAnsi="宋体" w:eastAsia="宋体" w:cs="宋体"/>
                <w:b w:val="0"/>
                <w:bCs w:val="0"/>
                <w:kern w:val="0"/>
                <w:sz w:val="18"/>
                <w:szCs w:val="18"/>
              </w:rPr>
            </w:pPr>
            <w:r>
              <w:rPr>
                <w:rFonts w:hint="eastAsia" w:ascii="Times New Roman" w:hAnsi="Times New Roman"/>
                <w:kern w:val="0"/>
                <w:sz w:val="18"/>
                <w:szCs w:val="18"/>
                <w:lang w:val="en-US" w:eastAsia="zh-CN"/>
              </w:rPr>
              <w:t>建设殡仪服务站、骨灰堂审批</w:t>
            </w:r>
          </w:p>
        </w:tc>
        <w:tc>
          <w:tcPr>
            <w:tcW w:w="432" w:type="dxa"/>
            <w:vMerge w:val="restart"/>
            <w:vAlign w:val="center"/>
          </w:tcPr>
          <w:p w14:paraId="0F9599D3">
            <w:pPr>
              <w:rPr>
                <w:rFonts w:ascii="Times New Roman" w:hAnsi="Times New Roman"/>
                <w:b/>
                <w:kern w:val="0"/>
                <w:sz w:val="18"/>
                <w:szCs w:val="18"/>
              </w:rPr>
            </w:pPr>
          </w:p>
        </w:tc>
      </w:tr>
      <w:tr w14:paraId="29A9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6" w:hRule="atLeast"/>
          <w:jc w:val="center"/>
        </w:trPr>
        <w:tc>
          <w:tcPr>
            <w:tcW w:w="504" w:type="dxa"/>
            <w:vMerge w:val="continue"/>
            <w:vAlign w:val="center"/>
          </w:tcPr>
          <w:p w14:paraId="4E7BACD9">
            <w:pPr>
              <w:jc w:val="center"/>
              <w:rPr>
                <w:rFonts w:hint="eastAsia" w:ascii="宋体" w:hAnsi="宋体" w:eastAsia="宋体" w:cs="宋体"/>
                <w:b w:val="0"/>
                <w:bCs w:val="0"/>
                <w:kern w:val="0"/>
                <w:sz w:val="18"/>
                <w:szCs w:val="18"/>
              </w:rPr>
            </w:pPr>
          </w:p>
        </w:tc>
        <w:tc>
          <w:tcPr>
            <w:tcW w:w="1246" w:type="dxa"/>
            <w:vMerge w:val="continue"/>
            <w:vAlign w:val="center"/>
          </w:tcPr>
          <w:p w14:paraId="5FF8E309">
            <w:pPr>
              <w:overflowPunct w:val="0"/>
              <w:autoSpaceDE w:val="0"/>
              <w:autoSpaceDN w:val="0"/>
              <w:ind w:firstLine="360" w:firstLineChars="200"/>
              <w:rPr>
                <w:rFonts w:hint="eastAsia" w:ascii="宋体" w:hAnsi="宋体" w:eastAsia="宋体" w:cs="宋体"/>
                <w:b w:val="0"/>
                <w:bCs w:val="0"/>
                <w:kern w:val="0"/>
                <w:sz w:val="18"/>
                <w:szCs w:val="18"/>
              </w:rPr>
            </w:pPr>
          </w:p>
        </w:tc>
        <w:tc>
          <w:tcPr>
            <w:tcW w:w="793" w:type="dxa"/>
            <w:vMerge w:val="continue"/>
            <w:vAlign w:val="center"/>
          </w:tcPr>
          <w:p w14:paraId="58E068D8">
            <w:pPr>
              <w:overflowPunct w:val="0"/>
              <w:autoSpaceDE w:val="0"/>
              <w:autoSpaceDN w:val="0"/>
              <w:rPr>
                <w:rFonts w:hint="eastAsia" w:ascii="宋体" w:hAnsi="宋体" w:eastAsia="宋体" w:cs="宋体"/>
                <w:b w:val="0"/>
                <w:bCs w:val="0"/>
                <w:kern w:val="0"/>
                <w:sz w:val="18"/>
                <w:szCs w:val="18"/>
              </w:rPr>
            </w:pPr>
          </w:p>
        </w:tc>
        <w:tc>
          <w:tcPr>
            <w:tcW w:w="775" w:type="dxa"/>
            <w:vMerge w:val="continue"/>
            <w:vAlign w:val="center"/>
          </w:tcPr>
          <w:p w14:paraId="0AE6FF12">
            <w:pPr>
              <w:overflowPunct w:val="0"/>
              <w:autoSpaceDE w:val="0"/>
              <w:autoSpaceDN w:val="0"/>
              <w:rPr>
                <w:rFonts w:hint="eastAsia" w:ascii="宋体" w:hAnsi="宋体" w:eastAsia="宋体" w:cs="宋体"/>
                <w:b w:val="0"/>
                <w:bCs w:val="0"/>
                <w:kern w:val="0"/>
                <w:sz w:val="18"/>
                <w:szCs w:val="18"/>
              </w:rPr>
            </w:pPr>
          </w:p>
        </w:tc>
        <w:tc>
          <w:tcPr>
            <w:tcW w:w="950" w:type="dxa"/>
            <w:vMerge w:val="continue"/>
            <w:vAlign w:val="center"/>
          </w:tcPr>
          <w:p w14:paraId="3D2BB76A">
            <w:pPr>
              <w:overflowPunct w:val="0"/>
              <w:autoSpaceDE w:val="0"/>
              <w:autoSpaceDN w:val="0"/>
              <w:spacing w:line="320" w:lineRule="exact"/>
              <w:rPr>
                <w:rFonts w:hint="eastAsia" w:ascii="宋体" w:hAnsi="宋体" w:eastAsia="宋体" w:cs="宋体"/>
                <w:b w:val="0"/>
                <w:bCs w:val="0"/>
                <w:kern w:val="0"/>
                <w:sz w:val="18"/>
                <w:szCs w:val="18"/>
              </w:rPr>
            </w:pPr>
          </w:p>
        </w:tc>
        <w:tc>
          <w:tcPr>
            <w:tcW w:w="4605" w:type="dxa"/>
            <w:vMerge w:val="continue"/>
            <w:vAlign w:val="center"/>
          </w:tcPr>
          <w:p w14:paraId="53F9B94B">
            <w:pPr>
              <w:ind w:firstLine="360" w:firstLineChars="200"/>
              <w:rPr>
                <w:rFonts w:hint="eastAsia" w:ascii="宋体" w:hAnsi="宋体" w:eastAsia="宋体" w:cs="宋体"/>
                <w:b w:val="0"/>
                <w:bCs w:val="0"/>
                <w:kern w:val="0"/>
                <w:sz w:val="18"/>
                <w:szCs w:val="18"/>
                <w:shd w:val="clear" w:color="auto" w:fill="FFFFFF"/>
              </w:rPr>
            </w:pPr>
          </w:p>
        </w:tc>
        <w:tc>
          <w:tcPr>
            <w:tcW w:w="1200" w:type="dxa"/>
            <w:vMerge w:val="continue"/>
            <w:vAlign w:val="center"/>
          </w:tcPr>
          <w:p w14:paraId="5604F348">
            <w:pPr>
              <w:rPr>
                <w:rFonts w:hint="eastAsia" w:ascii="宋体" w:hAnsi="宋体" w:eastAsia="宋体" w:cs="宋体"/>
                <w:b w:val="0"/>
                <w:bCs w:val="0"/>
                <w:kern w:val="0"/>
                <w:sz w:val="18"/>
                <w:szCs w:val="18"/>
              </w:rPr>
            </w:pPr>
          </w:p>
        </w:tc>
        <w:tc>
          <w:tcPr>
            <w:tcW w:w="1100" w:type="dxa"/>
            <w:vMerge w:val="continue"/>
            <w:vAlign w:val="center"/>
          </w:tcPr>
          <w:p w14:paraId="3D02B196">
            <w:pPr>
              <w:jc w:val="center"/>
              <w:rPr>
                <w:rFonts w:hint="eastAsia" w:ascii="宋体" w:hAnsi="宋体" w:eastAsia="宋体" w:cs="宋体"/>
                <w:b w:val="0"/>
                <w:bCs w:val="0"/>
                <w:kern w:val="0"/>
                <w:sz w:val="18"/>
                <w:szCs w:val="18"/>
              </w:rPr>
            </w:pPr>
          </w:p>
        </w:tc>
        <w:tc>
          <w:tcPr>
            <w:tcW w:w="1370" w:type="dxa"/>
            <w:vAlign w:val="center"/>
          </w:tcPr>
          <w:p w14:paraId="63255139">
            <w:pPr>
              <w:jc w:val="center"/>
              <w:rPr>
                <w:rFonts w:hint="eastAsia" w:ascii="宋体" w:hAnsi="宋体" w:eastAsia="宋体" w:cs="宋体"/>
                <w:b w:val="0"/>
                <w:bCs w:val="0"/>
                <w:kern w:val="0"/>
                <w:sz w:val="18"/>
                <w:szCs w:val="18"/>
              </w:rPr>
            </w:pPr>
            <w:r>
              <w:rPr>
                <w:rFonts w:hint="eastAsia" w:ascii="Times New Roman" w:hAnsi="Times New Roman" w:eastAsia="宋体"/>
                <w:kern w:val="0"/>
                <w:sz w:val="18"/>
                <w:szCs w:val="18"/>
                <w:lang w:val="en-US" w:eastAsia="zh-CN"/>
              </w:rPr>
              <w:t>000111017000</w:t>
            </w:r>
          </w:p>
        </w:tc>
        <w:tc>
          <w:tcPr>
            <w:tcW w:w="1220" w:type="dxa"/>
            <w:vAlign w:val="center"/>
          </w:tcPr>
          <w:p w14:paraId="7D88059D">
            <w:pPr>
              <w:rPr>
                <w:rFonts w:hint="eastAsia" w:ascii="宋体" w:hAnsi="宋体" w:eastAsia="宋体" w:cs="宋体"/>
                <w:b w:val="0"/>
                <w:bCs w:val="0"/>
                <w:kern w:val="0"/>
                <w:sz w:val="18"/>
                <w:szCs w:val="18"/>
              </w:rPr>
            </w:pPr>
            <w:r>
              <w:rPr>
                <w:rFonts w:hint="eastAsia" w:ascii="Times New Roman" w:hAnsi="Times New Roman" w:eastAsia="宋体"/>
                <w:kern w:val="0"/>
                <w:sz w:val="18"/>
                <w:szCs w:val="18"/>
                <w:lang w:val="en-US" w:eastAsia="zh-CN"/>
              </w:rPr>
              <w:t>建设经营性公墓审批</w:t>
            </w:r>
          </w:p>
        </w:tc>
        <w:tc>
          <w:tcPr>
            <w:tcW w:w="432" w:type="dxa"/>
            <w:vMerge w:val="continue"/>
            <w:vAlign w:val="center"/>
          </w:tcPr>
          <w:p w14:paraId="3AEC9DF1">
            <w:pPr>
              <w:rPr>
                <w:rFonts w:ascii="Times New Roman" w:hAnsi="Times New Roman"/>
                <w:b/>
                <w:kern w:val="0"/>
                <w:sz w:val="18"/>
                <w:szCs w:val="18"/>
              </w:rPr>
            </w:pPr>
          </w:p>
        </w:tc>
      </w:tr>
      <w:tr w14:paraId="165C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504" w:type="dxa"/>
            <w:vMerge w:val="continue"/>
            <w:vAlign w:val="center"/>
          </w:tcPr>
          <w:p w14:paraId="416DE730">
            <w:pPr>
              <w:jc w:val="center"/>
              <w:rPr>
                <w:rFonts w:hint="eastAsia" w:ascii="宋体" w:hAnsi="宋体" w:eastAsia="宋体" w:cs="宋体"/>
                <w:b w:val="0"/>
                <w:bCs w:val="0"/>
                <w:kern w:val="0"/>
                <w:sz w:val="18"/>
                <w:szCs w:val="18"/>
              </w:rPr>
            </w:pPr>
          </w:p>
        </w:tc>
        <w:tc>
          <w:tcPr>
            <w:tcW w:w="1246" w:type="dxa"/>
            <w:vMerge w:val="continue"/>
            <w:vAlign w:val="center"/>
          </w:tcPr>
          <w:p w14:paraId="33D958CE">
            <w:pPr>
              <w:overflowPunct w:val="0"/>
              <w:autoSpaceDE w:val="0"/>
              <w:autoSpaceDN w:val="0"/>
              <w:ind w:firstLine="360" w:firstLineChars="200"/>
              <w:rPr>
                <w:rFonts w:hint="eastAsia" w:ascii="宋体" w:hAnsi="宋体" w:eastAsia="宋体" w:cs="宋体"/>
                <w:b w:val="0"/>
                <w:bCs w:val="0"/>
                <w:kern w:val="0"/>
                <w:sz w:val="18"/>
                <w:szCs w:val="18"/>
              </w:rPr>
            </w:pPr>
          </w:p>
        </w:tc>
        <w:tc>
          <w:tcPr>
            <w:tcW w:w="793" w:type="dxa"/>
            <w:vMerge w:val="continue"/>
            <w:vAlign w:val="center"/>
          </w:tcPr>
          <w:p w14:paraId="655F7EC5">
            <w:pPr>
              <w:overflowPunct w:val="0"/>
              <w:autoSpaceDE w:val="0"/>
              <w:autoSpaceDN w:val="0"/>
              <w:rPr>
                <w:rFonts w:hint="eastAsia" w:ascii="宋体" w:hAnsi="宋体" w:eastAsia="宋体" w:cs="宋体"/>
                <w:b w:val="0"/>
                <w:bCs w:val="0"/>
                <w:kern w:val="0"/>
                <w:sz w:val="18"/>
                <w:szCs w:val="18"/>
              </w:rPr>
            </w:pPr>
          </w:p>
        </w:tc>
        <w:tc>
          <w:tcPr>
            <w:tcW w:w="775" w:type="dxa"/>
            <w:vMerge w:val="continue"/>
            <w:vAlign w:val="center"/>
          </w:tcPr>
          <w:p w14:paraId="2A12F3ED">
            <w:pPr>
              <w:overflowPunct w:val="0"/>
              <w:autoSpaceDE w:val="0"/>
              <w:autoSpaceDN w:val="0"/>
              <w:rPr>
                <w:rFonts w:hint="eastAsia" w:ascii="宋体" w:hAnsi="宋体" w:eastAsia="宋体" w:cs="宋体"/>
                <w:b w:val="0"/>
                <w:bCs w:val="0"/>
                <w:kern w:val="0"/>
                <w:sz w:val="18"/>
                <w:szCs w:val="18"/>
              </w:rPr>
            </w:pPr>
          </w:p>
        </w:tc>
        <w:tc>
          <w:tcPr>
            <w:tcW w:w="950" w:type="dxa"/>
            <w:vMerge w:val="continue"/>
            <w:vAlign w:val="center"/>
          </w:tcPr>
          <w:p w14:paraId="72E0083F">
            <w:pPr>
              <w:overflowPunct w:val="0"/>
              <w:autoSpaceDE w:val="0"/>
              <w:autoSpaceDN w:val="0"/>
              <w:spacing w:line="320" w:lineRule="exact"/>
              <w:rPr>
                <w:rFonts w:hint="eastAsia" w:ascii="宋体" w:hAnsi="宋体" w:eastAsia="宋体" w:cs="宋体"/>
                <w:b w:val="0"/>
                <w:bCs w:val="0"/>
                <w:kern w:val="0"/>
                <w:sz w:val="18"/>
                <w:szCs w:val="18"/>
              </w:rPr>
            </w:pPr>
          </w:p>
        </w:tc>
        <w:tc>
          <w:tcPr>
            <w:tcW w:w="4605" w:type="dxa"/>
            <w:vMerge w:val="continue"/>
            <w:vAlign w:val="center"/>
          </w:tcPr>
          <w:p w14:paraId="792E1EF0">
            <w:pPr>
              <w:ind w:firstLine="360" w:firstLineChars="200"/>
              <w:rPr>
                <w:rFonts w:hint="eastAsia" w:ascii="宋体" w:hAnsi="宋体" w:eastAsia="宋体" w:cs="宋体"/>
                <w:b w:val="0"/>
                <w:bCs w:val="0"/>
                <w:kern w:val="0"/>
                <w:sz w:val="18"/>
                <w:szCs w:val="18"/>
                <w:shd w:val="clear" w:color="auto" w:fill="FFFFFF"/>
              </w:rPr>
            </w:pPr>
          </w:p>
        </w:tc>
        <w:tc>
          <w:tcPr>
            <w:tcW w:w="1200" w:type="dxa"/>
            <w:vMerge w:val="continue"/>
            <w:vAlign w:val="center"/>
          </w:tcPr>
          <w:p w14:paraId="34BBD9BA">
            <w:pPr>
              <w:rPr>
                <w:rFonts w:hint="eastAsia" w:ascii="宋体" w:hAnsi="宋体" w:eastAsia="宋体" w:cs="宋体"/>
                <w:b w:val="0"/>
                <w:bCs w:val="0"/>
                <w:kern w:val="0"/>
                <w:sz w:val="18"/>
                <w:szCs w:val="18"/>
              </w:rPr>
            </w:pPr>
          </w:p>
        </w:tc>
        <w:tc>
          <w:tcPr>
            <w:tcW w:w="1100" w:type="dxa"/>
            <w:vMerge w:val="continue"/>
            <w:vAlign w:val="center"/>
          </w:tcPr>
          <w:p w14:paraId="30CB55DA">
            <w:pPr>
              <w:jc w:val="center"/>
              <w:rPr>
                <w:rFonts w:hint="eastAsia" w:ascii="宋体" w:hAnsi="宋体" w:eastAsia="宋体" w:cs="宋体"/>
                <w:b w:val="0"/>
                <w:bCs w:val="0"/>
                <w:kern w:val="0"/>
                <w:sz w:val="18"/>
                <w:szCs w:val="18"/>
              </w:rPr>
            </w:pPr>
          </w:p>
        </w:tc>
        <w:tc>
          <w:tcPr>
            <w:tcW w:w="1370" w:type="dxa"/>
            <w:vAlign w:val="center"/>
          </w:tcPr>
          <w:p w14:paraId="67EE1876">
            <w:pPr>
              <w:jc w:val="center"/>
              <w:rPr>
                <w:rFonts w:hint="eastAsia" w:ascii="宋体" w:hAnsi="宋体" w:eastAsia="宋体" w:cs="宋体"/>
                <w:b w:val="0"/>
                <w:bCs w:val="0"/>
                <w:kern w:val="0"/>
                <w:sz w:val="18"/>
                <w:szCs w:val="18"/>
              </w:rPr>
            </w:pPr>
            <w:r>
              <w:rPr>
                <w:rFonts w:hint="eastAsia" w:ascii="Times New Roman" w:hAnsi="Times New Roman"/>
                <w:kern w:val="0"/>
                <w:sz w:val="18"/>
                <w:szCs w:val="18"/>
                <w:lang w:val="en-US" w:eastAsia="zh-CN"/>
              </w:rPr>
              <w:t>000111008000</w:t>
            </w:r>
          </w:p>
        </w:tc>
        <w:tc>
          <w:tcPr>
            <w:tcW w:w="1220" w:type="dxa"/>
            <w:vAlign w:val="center"/>
          </w:tcPr>
          <w:p w14:paraId="48BDAB7F">
            <w:pPr>
              <w:rPr>
                <w:rFonts w:hint="eastAsia" w:ascii="宋体" w:hAnsi="宋体" w:eastAsia="宋体" w:cs="宋体"/>
                <w:b w:val="0"/>
                <w:bCs w:val="0"/>
                <w:kern w:val="0"/>
                <w:sz w:val="18"/>
                <w:szCs w:val="18"/>
              </w:rPr>
            </w:pPr>
            <w:r>
              <w:rPr>
                <w:rFonts w:hint="eastAsia" w:ascii="Times New Roman" w:hAnsi="Times New Roman"/>
                <w:kern w:val="0"/>
                <w:sz w:val="18"/>
                <w:szCs w:val="18"/>
                <w:lang w:val="en-US" w:eastAsia="zh-CN"/>
              </w:rPr>
              <w:t>建设殡仪馆、火葬场审批</w:t>
            </w:r>
          </w:p>
        </w:tc>
        <w:tc>
          <w:tcPr>
            <w:tcW w:w="432" w:type="dxa"/>
            <w:vMerge w:val="continue"/>
            <w:vAlign w:val="center"/>
          </w:tcPr>
          <w:p w14:paraId="5833E1BC">
            <w:pPr>
              <w:rPr>
                <w:rFonts w:ascii="Times New Roman" w:hAnsi="Times New Roman"/>
                <w:b/>
                <w:kern w:val="0"/>
                <w:sz w:val="18"/>
                <w:szCs w:val="18"/>
              </w:rPr>
            </w:pPr>
          </w:p>
        </w:tc>
      </w:tr>
    </w:tbl>
    <w:p w14:paraId="0EDA0FA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B73345"/>
    <w:rsid w:val="0BEB34F0"/>
    <w:rsid w:val="0E2E3121"/>
    <w:rsid w:val="10A26A2C"/>
    <w:rsid w:val="14080FA0"/>
    <w:rsid w:val="14A21E36"/>
    <w:rsid w:val="1A302059"/>
    <w:rsid w:val="1FCE0D10"/>
    <w:rsid w:val="223339FD"/>
    <w:rsid w:val="2CCE51A9"/>
    <w:rsid w:val="33F15215"/>
    <w:rsid w:val="35955148"/>
    <w:rsid w:val="421A3155"/>
    <w:rsid w:val="4948381C"/>
    <w:rsid w:val="522C4AA0"/>
    <w:rsid w:val="525D75A1"/>
    <w:rsid w:val="54D83193"/>
    <w:rsid w:val="57C87BC6"/>
    <w:rsid w:val="59F37AEB"/>
    <w:rsid w:val="5AD922AA"/>
    <w:rsid w:val="619112F3"/>
    <w:rsid w:val="70B82A50"/>
    <w:rsid w:val="75802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4"/>
      <w:lang w:val="en-US" w:eastAsia="zh-CN" w:bidi="ar-SA"/>
    </w:rPr>
  </w:style>
  <w:style w:type="paragraph" w:styleId="3">
    <w:name w:val="heading 1"/>
    <w:basedOn w:val="1"/>
    <w:next w:val="4"/>
    <w:qFormat/>
    <w:uiPriority w:val="0"/>
    <w:pPr>
      <w:keepNext/>
      <w:keepLines/>
      <w:spacing w:before="260" w:beforeLines="0" w:beforeAutospacing="0" w:after="260" w:afterLines="0" w:afterAutospacing="0" w:line="560" w:lineRule="exact"/>
      <w:outlineLvl w:val="0"/>
    </w:pPr>
    <w:rPr>
      <w:rFonts w:eastAsia="黑体"/>
      <w:spacing w:val="-11"/>
      <w:kern w:val="44"/>
    </w:rPr>
  </w:style>
  <w:style w:type="paragraph" w:styleId="4">
    <w:name w:val="heading 2"/>
    <w:basedOn w:val="1"/>
    <w:next w:val="5"/>
    <w:semiHidden/>
    <w:unhideWhenUsed/>
    <w:qFormat/>
    <w:uiPriority w:val="0"/>
    <w:pPr>
      <w:keepNext/>
      <w:keepLines/>
      <w:spacing w:before="260" w:beforeLines="0" w:beforeAutospacing="0" w:after="260" w:afterLines="0" w:afterAutospacing="0" w:line="560" w:lineRule="exact"/>
      <w:outlineLvl w:val="1"/>
    </w:pPr>
    <w:rPr>
      <w:rFonts w:eastAsia="楷体_GB2312"/>
    </w:rPr>
  </w:style>
  <w:style w:type="paragraph" w:styleId="5">
    <w:name w:val="heading 3"/>
    <w:basedOn w:val="1"/>
    <w:next w:val="1"/>
    <w:semiHidden/>
    <w:unhideWhenUsed/>
    <w:qFormat/>
    <w:uiPriority w:val="0"/>
    <w:pPr>
      <w:keepNext/>
      <w:keepLines/>
      <w:spacing w:before="260" w:beforeLines="0" w:beforeAutospacing="0" w:after="260" w:afterLines="0" w:afterAutospacing="0" w:line="560" w:lineRule="exact"/>
      <w:outlineLvl w:val="2"/>
    </w:pPr>
    <w:rPr>
      <w:b/>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6">
    <w:name w:val="Title"/>
    <w:next w:val="3"/>
    <w:qFormat/>
    <w:uiPriority w:val="0"/>
    <w:pPr>
      <w:spacing w:before="240" w:beforeLines="0" w:beforeAutospacing="0" w:after="60" w:afterLines="0" w:afterAutospacing="0"/>
      <w:jc w:val="center"/>
      <w:outlineLvl w:val="0"/>
    </w:pPr>
    <w:rPr>
      <w:rFonts w:ascii="Times New Roman" w:hAnsi="Times New Roman" w:eastAsia="方正小标宋简体" w:cs="仿宋_GB2312"/>
      <w:sz w:val="44"/>
    </w:rPr>
  </w:style>
  <w:style w:type="paragraph" w:customStyle="1" w:styleId="9">
    <w:name w:val="大标题"/>
    <w:basedOn w:val="6"/>
    <w:next w:val="3"/>
    <w:qFormat/>
    <w:uiPriority w:val="0"/>
    <w:rPr>
      <w:rFonts w:ascii="Arial" w:hAnsi="Arial" w:eastAsia="方正小标宋简体"/>
      <w:sz w:val="44"/>
    </w:rPr>
  </w:style>
  <w:style w:type="paragraph" w:customStyle="1" w:styleId="10">
    <w:name w:val="TOC1"/>
    <w:basedOn w:val="1"/>
    <w:next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2486</Words>
  <Characters>2592</Characters>
  <Lines>0</Lines>
  <Paragraphs>0</Paragraphs>
  <TotalTime>4</TotalTime>
  <ScaleCrop>false</ScaleCrop>
  <LinksUpToDate>false</LinksUpToDate>
  <CharactersWithSpaces>2610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2023-01-11T01:44:00Z</dcterms:created>
  <dc:creator>mzj918a</dc:creator>
  <cp:lastModifiedBy>HF</cp:lastModifiedBy>
  <dcterms:modified xsi:type="dcterms:W3CDTF">2026-03-30T07:03:15Z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5051CF8129BB4F7EB383667613AD9D42</vt:lpwstr>
  </property>
  <property fmtid="{D5CDD505-2E9C-101B-9397-08002B2CF9AE}" pid="4" name="KSOTemplateDocerSaveRecord">
    <vt:lpwstr>eyJoZGlkIjoiZmQ2MzAwN2RhYmVmMTA1NTE4NGFhZTAyNjYxNjY3NDQiLCJ1c2VySWQiOiIzNzU3MjU3NjEifQ==</vt:lpwstr>
  </property>
</Properties>
</file>