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669E4">
      <w:pPr>
        <w:rPr>
          <w:sz w:val="32"/>
          <w:szCs w:val="32"/>
        </w:rPr>
      </w:pPr>
      <w:bookmarkStart w:id="0" w:name="zhengwen"/>
      <w:bookmarkEnd w:id="0"/>
    </w:p>
    <w:p w14:paraId="21F79F4B">
      <w:pPr>
        <w:rPr>
          <w:rFonts w:ascii="Times New Roman" w:hAnsi="Times New Roman" w:eastAsia="黑体"/>
          <w:sz w:val="32"/>
          <w:szCs w:val="32"/>
        </w:rPr>
      </w:pPr>
      <w:r>
        <w:rPr>
          <w:rFonts w:ascii="Times New Roman" w:hAnsi="黑体" w:eastAsia="黑体"/>
          <w:sz w:val="32"/>
          <w:szCs w:val="32"/>
        </w:rPr>
        <w:t>附件</w:t>
      </w:r>
    </w:p>
    <w:p w14:paraId="5030CABB">
      <w:pPr>
        <w:jc w:val="center"/>
        <w:rPr>
          <w:rFonts w:ascii="Times New Roman" w:hAnsi="Times New Roman" w:eastAsia="仿宋_GB2312"/>
          <w:sz w:val="32"/>
          <w:szCs w:val="32"/>
        </w:rPr>
      </w:pPr>
      <w:r>
        <w:rPr>
          <w:rFonts w:hint="eastAsia" w:ascii="Times New Roman" w:hAnsi="Times New Roman" w:eastAsia="方正小标宋简体"/>
          <w:sz w:val="44"/>
          <w:szCs w:val="44"/>
          <w:lang w:val="en-US" w:eastAsia="zh-CN"/>
        </w:rPr>
        <w:t>苏州市吴中区科学技术局</w:t>
      </w:r>
      <w:r>
        <w:rPr>
          <w:rFonts w:ascii="Times New Roman" w:hAnsi="Times New Roman" w:eastAsia="方正小标宋简体"/>
          <w:sz w:val="44"/>
          <w:szCs w:val="44"/>
        </w:rPr>
        <w:t>行政检查事项清单</w:t>
      </w:r>
    </w:p>
    <w:tbl>
      <w:tblPr>
        <w:tblStyle w:val="7"/>
        <w:tblW w:w="14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246"/>
        <w:gridCol w:w="747"/>
        <w:gridCol w:w="821"/>
        <w:gridCol w:w="950"/>
        <w:gridCol w:w="4196"/>
        <w:gridCol w:w="708"/>
        <w:gridCol w:w="1418"/>
        <w:gridCol w:w="1442"/>
        <w:gridCol w:w="1393"/>
        <w:gridCol w:w="770"/>
      </w:tblGrid>
      <w:tr w14:paraId="168E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4" w:type="dxa"/>
            <w:vMerge w:val="restart"/>
            <w:vAlign w:val="center"/>
          </w:tcPr>
          <w:p w14:paraId="2315C091">
            <w:pPr>
              <w:jc w:val="center"/>
              <w:rPr>
                <w:rFonts w:ascii="Times New Roman" w:hAnsi="Times New Roman" w:eastAsia="黑体"/>
                <w:kern w:val="0"/>
                <w:sz w:val="24"/>
              </w:rPr>
            </w:pPr>
            <w:r>
              <w:rPr>
                <w:rFonts w:ascii="Times New Roman" w:hAnsi="黑体" w:eastAsia="黑体"/>
                <w:kern w:val="0"/>
                <w:sz w:val="24"/>
              </w:rPr>
              <w:t>序号</w:t>
            </w:r>
          </w:p>
        </w:tc>
        <w:tc>
          <w:tcPr>
            <w:tcW w:w="1246" w:type="dxa"/>
            <w:vMerge w:val="restart"/>
            <w:vAlign w:val="center"/>
          </w:tcPr>
          <w:p w14:paraId="4D7BF030">
            <w:pPr>
              <w:jc w:val="center"/>
              <w:rPr>
                <w:rFonts w:ascii="Times New Roman" w:hAnsi="Times New Roman" w:eastAsia="黑体"/>
                <w:kern w:val="0"/>
                <w:sz w:val="24"/>
              </w:rPr>
            </w:pPr>
            <w:r>
              <w:rPr>
                <w:rFonts w:ascii="Times New Roman" w:hAnsi="黑体" w:eastAsia="黑体"/>
                <w:kern w:val="0"/>
                <w:sz w:val="24"/>
              </w:rPr>
              <w:t>检查事项</w:t>
            </w:r>
          </w:p>
        </w:tc>
        <w:tc>
          <w:tcPr>
            <w:tcW w:w="747" w:type="dxa"/>
            <w:vMerge w:val="restart"/>
            <w:vAlign w:val="center"/>
          </w:tcPr>
          <w:p w14:paraId="1D7C2019">
            <w:pPr>
              <w:jc w:val="center"/>
              <w:rPr>
                <w:rFonts w:ascii="Times New Roman" w:hAnsi="Times New Roman" w:eastAsia="黑体"/>
                <w:kern w:val="0"/>
                <w:sz w:val="24"/>
              </w:rPr>
            </w:pPr>
            <w:r>
              <w:rPr>
                <w:rFonts w:ascii="Times New Roman" w:hAnsi="黑体" w:eastAsia="黑体"/>
                <w:kern w:val="0"/>
                <w:sz w:val="24"/>
              </w:rPr>
              <w:t>检查主体</w:t>
            </w:r>
          </w:p>
        </w:tc>
        <w:tc>
          <w:tcPr>
            <w:tcW w:w="821" w:type="dxa"/>
            <w:vMerge w:val="restart"/>
            <w:vAlign w:val="center"/>
          </w:tcPr>
          <w:p w14:paraId="3EC9D35F">
            <w:pPr>
              <w:jc w:val="center"/>
              <w:rPr>
                <w:rFonts w:ascii="Times New Roman" w:hAnsi="Times New Roman" w:eastAsia="黑体"/>
                <w:kern w:val="0"/>
                <w:sz w:val="24"/>
              </w:rPr>
            </w:pPr>
            <w:r>
              <w:rPr>
                <w:rFonts w:ascii="Times New Roman" w:hAnsi="黑体" w:eastAsia="黑体"/>
                <w:kern w:val="0"/>
                <w:sz w:val="24"/>
              </w:rPr>
              <w:t>检查机构</w:t>
            </w:r>
          </w:p>
        </w:tc>
        <w:tc>
          <w:tcPr>
            <w:tcW w:w="950" w:type="dxa"/>
            <w:vMerge w:val="restart"/>
            <w:vAlign w:val="center"/>
          </w:tcPr>
          <w:p w14:paraId="5A6601C7">
            <w:pPr>
              <w:jc w:val="center"/>
              <w:rPr>
                <w:rFonts w:ascii="Times New Roman" w:hAnsi="Times New Roman" w:eastAsia="黑体"/>
                <w:kern w:val="0"/>
                <w:sz w:val="24"/>
              </w:rPr>
            </w:pPr>
            <w:r>
              <w:rPr>
                <w:rFonts w:ascii="Times New Roman" w:hAnsi="黑体" w:eastAsia="黑体"/>
                <w:kern w:val="0"/>
                <w:sz w:val="24"/>
              </w:rPr>
              <w:t>检查对象</w:t>
            </w:r>
          </w:p>
        </w:tc>
        <w:tc>
          <w:tcPr>
            <w:tcW w:w="4196" w:type="dxa"/>
            <w:vMerge w:val="restart"/>
            <w:vAlign w:val="center"/>
          </w:tcPr>
          <w:p w14:paraId="6C0F5BC7">
            <w:pPr>
              <w:jc w:val="center"/>
              <w:rPr>
                <w:rFonts w:ascii="Times New Roman" w:hAnsi="Times New Roman" w:eastAsia="黑体"/>
                <w:kern w:val="0"/>
                <w:sz w:val="24"/>
              </w:rPr>
            </w:pPr>
            <w:r>
              <w:rPr>
                <w:rFonts w:ascii="Times New Roman" w:hAnsi="Times New Roman" w:eastAsia="黑体"/>
                <w:kern w:val="0"/>
                <w:sz w:val="24"/>
              </w:rPr>
              <w:t>检查依据</w:t>
            </w:r>
          </w:p>
        </w:tc>
        <w:tc>
          <w:tcPr>
            <w:tcW w:w="708" w:type="dxa"/>
            <w:vMerge w:val="restart"/>
            <w:vAlign w:val="center"/>
          </w:tcPr>
          <w:p w14:paraId="0ED7C186">
            <w:pPr>
              <w:jc w:val="center"/>
              <w:rPr>
                <w:rFonts w:ascii="Times New Roman" w:hAnsi="Times New Roman" w:eastAsia="黑体"/>
                <w:kern w:val="0"/>
                <w:sz w:val="24"/>
              </w:rPr>
            </w:pPr>
            <w:r>
              <w:rPr>
                <w:rFonts w:ascii="Times New Roman" w:hAnsi="黑体" w:eastAsia="黑体"/>
                <w:kern w:val="0"/>
                <w:sz w:val="24"/>
              </w:rPr>
              <w:t>检查方式</w:t>
            </w:r>
          </w:p>
        </w:tc>
        <w:tc>
          <w:tcPr>
            <w:tcW w:w="1418" w:type="dxa"/>
            <w:vMerge w:val="restart"/>
            <w:vAlign w:val="center"/>
          </w:tcPr>
          <w:p w14:paraId="1C8C4CEF">
            <w:pPr>
              <w:jc w:val="center"/>
              <w:rPr>
                <w:rFonts w:ascii="Times New Roman" w:hAnsi="黑体" w:eastAsia="黑体"/>
                <w:kern w:val="0"/>
                <w:sz w:val="24"/>
              </w:rPr>
            </w:pPr>
            <w:r>
              <w:rPr>
                <w:rFonts w:ascii="Times New Roman" w:hAnsi="黑体" w:eastAsia="黑体"/>
                <w:kern w:val="0"/>
                <w:sz w:val="24"/>
              </w:rPr>
              <w:t>检查</w:t>
            </w:r>
          </w:p>
          <w:p w14:paraId="54A8860D">
            <w:pPr>
              <w:jc w:val="center"/>
              <w:rPr>
                <w:rFonts w:ascii="Times New Roman" w:hAnsi="黑体" w:eastAsia="黑体"/>
                <w:kern w:val="0"/>
                <w:sz w:val="24"/>
              </w:rPr>
            </w:pPr>
            <w:r>
              <w:rPr>
                <w:rFonts w:ascii="Times New Roman" w:hAnsi="黑体" w:eastAsia="黑体"/>
                <w:kern w:val="0"/>
                <w:sz w:val="24"/>
              </w:rPr>
              <w:t>频次</w:t>
            </w:r>
          </w:p>
          <w:p w14:paraId="086D2D60">
            <w:pPr>
              <w:jc w:val="center"/>
              <w:rPr>
                <w:rFonts w:ascii="Times New Roman" w:hAnsi="Times New Roman" w:eastAsia="黑体"/>
                <w:kern w:val="0"/>
                <w:sz w:val="24"/>
              </w:rPr>
            </w:pPr>
            <w:r>
              <w:rPr>
                <w:rFonts w:ascii="Times New Roman" w:hAnsi="黑体" w:eastAsia="黑体"/>
                <w:kern w:val="0"/>
                <w:sz w:val="24"/>
              </w:rPr>
              <w:t>（时间）</w:t>
            </w:r>
          </w:p>
        </w:tc>
        <w:tc>
          <w:tcPr>
            <w:tcW w:w="2835" w:type="dxa"/>
            <w:gridSpan w:val="2"/>
            <w:vAlign w:val="center"/>
          </w:tcPr>
          <w:p w14:paraId="4918C9F9">
            <w:pPr>
              <w:jc w:val="center"/>
              <w:rPr>
                <w:rFonts w:ascii="Times New Roman" w:hAnsi="Times New Roman" w:eastAsia="黑体"/>
                <w:kern w:val="0"/>
                <w:sz w:val="24"/>
              </w:rPr>
            </w:pPr>
            <w:r>
              <w:rPr>
                <w:rFonts w:ascii="Times New Roman" w:hAnsi="黑体" w:eastAsia="黑体"/>
                <w:kern w:val="0"/>
                <w:sz w:val="24"/>
              </w:rPr>
              <w:t>对应的行政权力事项</w:t>
            </w:r>
          </w:p>
        </w:tc>
        <w:tc>
          <w:tcPr>
            <w:tcW w:w="770" w:type="dxa"/>
            <w:vMerge w:val="restart"/>
            <w:vAlign w:val="center"/>
          </w:tcPr>
          <w:p w14:paraId="302D4D30">
            <w:pPr>
              <w:jc w:val="center"/>
              <w:rPr>
                <w:rFonts w:ascii="Times New Roman" w:hAnsi="Times New Roman" w:eastAsia="黑体"/>
                <w:kern w:val="0"/>
                <w:sz w:val="24"/>
              </w:rPr>
            </w:pPr>
            <w:r>
              <w:rPr>
                <w:rFonts w:ascii="Times New Roman" w:hAnsi="黑体" w:eastAsia="黑体"/>
                <w:kern w:val="0"/>
                <w:sz w:val="24"/>
              </w:rPr>
              <w:t>备注</w:t>
            </w:r>
          </w:p>
        </w:tc>
      </w:tr>
      <w:tr w14:paraId="0D86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504" w:type="dxa"/>
            <w:vMerge w:val="continue"/>
            <w:vAlign w:val="center"/>
          </w:tcPr>
          <w:p w14:paraId="15041068">
            <w:pPr>
              <w:jc w:val="center"/>
              <w:rPr>
                <w:rFonts w:ascii="Times New Roman" w:hAnsi="Times New Roman" w:eastAsia="黑体"/>
                <w:kern w:val="0"/>
                <w:sz w:val="24"/>
              </w:rPr>
            </w:pPr>
          </w:p>
        </w:tc>
        <w:tc>
          <w:tcPr>
            <w:tcW w:w="1246" w:type="dxa"/>
            <w:vMerge w:val="continue"/>
            <w:vAlign w:val="center"/>
          </w:tcPr>
          <w:p w14:paraId="351E9355">
            <w:pPr>
              <w:jc w:val="center"/>
              <w:rPr>
                <w:rFonts w:ascii="Times New Roman" w:hAnsi="Times New Roman" w:eastAsia="黑体"/>
                <w:kern w:val="0"/>
                <w:sz w:val="24"/>
              </w:rPr>
            </w:pPr>
          </w:p>
        </w:tc>
        <w:tc>
          <w:tcPr>
            <w:tcW w:w="747" w:type="dxa"/>
            <w:vMerge w:val="continue"/>
            <w:vAlign w:val="center"/>
          </w:tcPr>
          <w:p w14:paraId="1E6828B2">
            <w:pPr>
              <w:jc w:val="center"/>
              <w:rPr>
                <w:rFonts w:ascii="Times New Roman" w:hAnsi="Times New Roman" w:eastAsia="黑体"/>
                <w:kern w:val="0"/>
                <w:sz w:val="24"/>
              </w:rPr>
            </w:pPr>
          </w:p>
        </w:tc>
        <w:tc>
          <w:tcPr>
            <w:tcW w:w="821" w:type="dxa"/>
            <w:vMerge w:val="continue"/>
            <w:vAlign w:val="center"/>
          </w:tcPr>
          <w:p w14:paraId="15C6947D">
            <w:pPr>
              <w:jc w:val="center"/>
              <w:rPr>
                <w:rFonts w:ascii="Times New Roman" w:hAnsi="Times New Roman" w:eastAsia="黑体"/>
                <w:kern w:val="0"/>
                <w:sz w:val="24"/>
              </w:rPr>
            </w:pPr>
          </w:p>
        </w:tc>
        <w:tc>
          <w:tcPr>
            <w:tcW w:w="950" w:type="dxa"/>
            <w:vMerge w:val="continue"/>
            <w:vAlign w:val="center"/>
          </w:tcPr>
          <w:p w14:paraId="646C6606">
            <w:pPr>
              <w:jc w:val="center"/>
              <w:rPr>
                <w:rFonts w:ascii="Times New Roman" w:hAnsi="Times New Roman" w:eastAsia="黑体"/>
                <w:kern w:val="0"/>
                <w:sz w:val="24"/>
              </w:rPr>
            </w:pPr>
          </w:p>
        </w:tc>
        <w:tc>
          <w:tcPr>
            <w:tcW w:w="4196" w:type="dxa"/>
            <w:vMerge w:val="continue"/>
            <w:vAlign w:val="center"/>
          </w:tcPr>
          <w:p w14:paraId="1D51CFB8">
            <w:pPr>
              <w:jc w:val="center"/>
              <w:rPr>
                <w:rFonts w:ascii="Times New Roman" w:hAnsi="Times New Roman" w:eastAsia="黑体"/>
                <w:kern w:val="0"/>
                <w:sz w:val="24"/>
              </w:rPr>
            </w:pPr>
          </w:p>
        </w:tc>
        <w:tc>
          <w:tcPr>
            <w:tcW w:w="708" w:type="dxa"/>
            <w:vMerge w:val="continue"/>
            <w:vAlign w:val="center"/>
          </w:tcPr>
          <w:p w14:paraId="391F26DA">
            <w:pPr>
              <w:jc w:val="center"/>
              <w:rPr>
                <w:rFonts w:ascii="Times New Roman" w:hAnsi="Times New Roman" w:eastAsia="黑体"/>
                <w:kern w:val="0"/>
                <w:sz w:val="24"/>
              </w:rPr>
            </w:pPr>
          </w:p>
        </w:tc>
        <w:tc>
          <w:tcPr>
            <w:tcW w:w="1418" w:type="dxa"/>
            <w:vMerge w:val="continue"/>
            <w:vAlign w:val="center"/>
          </w:tcPr>
          <w:p w14:paraId="2D88D2C6">
            <w:pPr>
              <w:jc w:val="center"/>
              <w:rPr>
                <w:rFonts w:ascii="Times New Roman" w:hAnsi="Times New Roman" w:eastAsia="黑体"/>
                <w:kern w:val="0"/>
                <w:sz w:val="24"/>
              </w:rPr>
            </w:pPr>
          </w:p>
        </w:tc>
        <w:tc>
          <w:tcPr>
            <w:tcW w:w="1442" w:type="dxa"/>
            <w:vAlign w:val="center"/>
          </w:tcPr>
          <w:p w14:paraId="02FBE9A0">
            <w:pPr>
              <w:jc w:val="center"/>
              <w:rPr>
                <w:rFonts w:ascii="Times New Roman" w:hAnsi="Times New Roman" w:eastAsia="黑体"/>
                <w:kern w:val="0"/>
                <w:sz w:val="24"/>
              </w:rPr>
            </w:pPr>
            <w:r>
              <w:rPr>
                <w:rFonts w:ascii="Times New Roman" w:hAnsi="黑体" w:eastAsia="黑体"/>
                <w:kern w:val="0"/>
                <w:sz w:val="24"/>
              </w:rPr>
              <w:t>权力编码</w:t>
            </w:r>
          </w:p>
        </w:tc>
        <w:tc>
          <w:tcPr>
            <w:tcW w:w="1393" w:type="dxa"/>
            <w:vAlign w:val="center"/>
          </w:tcPr>
          <w:p w14:paraId="3C9765AB">
            <w:pPr>
              <w:jc w:val="center"/>
              <w:rPr>
                <w:rFonts w:ascii="Times New Roman" w:hAnsi="Times New Roman" w:eastAsia="黑体"/>
                <w:kern w:val="0"/>
                <w:sz w:val="24"/>
              </w:rPr>
            </w:pPr>
            <w:r>
              <w:rPr>
                <w:rFonts w:ascii="Times New Roman" w:hAnsi="黑体" w:eastAsia="黑体"/>
                <w:kern w:val="0"/>
                <w:sz w:val="24"/>
              </w:rPr>
              <w:t>权力名称</w:t>
            </w:r>
          </w:p>
        </w:tc>
        <w:tc>
          <w:tcPr>
            <w:tcW w:w="770" w:type="dxa"/>
            <w:vMerge w:val="continue"/>
            <w:vAlign w:val="center"/>
          </w:tcPr>
          <w:p w14:paraId="4AA1B662">
            <w:pPr>
              <w:jc w:val="center"/>
              <w:rPr>
                <w:rFonts w:ascii="Times New Roman" w:hAnsi="Times New Roman" w:eastAsia="黑体"/>
                <w:kern w:val="0"/>
                <w:sz w:val="24"/>
              </w:rPr>
            </w:pPr>
          </w:p>
        </w:tc>
      </w:tr>
      <w:tr w14:paraId="3CD1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504" w:type="dxa"/>
            <w:vAlign w:val="center"/>
          </w:tcPr>
          <w:p w14:paraId="1B9D718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46" w:type="dxa"/>
            <w:vAlign w:val="center"/>
          </w:tcPr>
          <w:p w14:paraId="565A38E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科技类校外培训机构监管一件事</w:t>
            </w:r>
          </w:p>
        </w:tc>
        <w:tc>
          <w:tcPr>
            <w:tcW w:w="747" w:type="dxa"/>
            <w:vAlign w:val="center"/>
          </w:tcPr>
          <w:p w14:paraId="5BF90C6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苏州市吴中区科学技术局</w:t>
            </w:r>
          </w:p>
        </w:tc>
        <w:tc>
          <w:tcPr>
            <w:tcW w:w="821" w:type="dxa"/>
            <w:vAlign w:val="center"/>
          </w:tcPr>
          <w:p w14:paraId="59D653D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苏州市吴中区科学技术局</w:t>
            </w:r>
          </w:p>
        </w:tc>
        <w:tc>
          <w:tcPr>
            <w:tcW w:w="950" w:type="dxa"/>
            <w:vAlign w:val="center"/>
          </w:tcPr>
          <w:p w14:paraId="16BB47F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科技类校外培训机构</w:t>
            </w:r>
          </w:p>
        </w:tc>
        <w:tc>
          <w:tcPr>
            <w:tcW w:w="4196" w:type="dxa"/>
            <w:vAlign w:val="center"/>
          </w:tcPr>
          <w:p w14:paraId="3819E34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【法律】《中华人民共和国民办教育促进法》第八条  县级以上地方各级人民政府教育行政部门主管本行政区域内的民办教育工作。</w:t>
            </w:r>
          </w:p>
          <w:p w14:paraId="50B77F4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地方规章】《省政府办公厅关于规范校外培训机构发展的实施意见》（苏政办规〔2023〕5号）（十四）完善黑白名单制度。各地对通过审批登记的校外培训机构，在政府网站公布白名单及主要信息，并根据日常监管和年检年报情况及时更新。……加强校外培训机构信用监管，鼓励借助信息技术手段将校外培训机构黑白名单等信息归集至相关信用信息共享平台，引导校外培训机构依法合规经营。</w:t>
            </w:r>
            <w:bookmarkStart w:id="1" w:name="_GoBack"/>
            <w:bookmarkEnd w:id="1"/>
          </w:p>
        </w:tc>
        <w:tc>
          <w:tcPr>
            <w:tcW w:w="708" w:type="dxa"/>
            <w:vAlign w:val="center"/>
          </w:tcPr>
          <w:p w14:paraId="29963B6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现场</w:t>
            </w:r>
          </w:p>
          <w:p w14:paraId="44093A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检查</w:t>
            </w:r>
          </w:p>
        </w:tc>
        <w:tc>
          <w:tcPr>
            <w:tcW w:w="1418" w:type="dxa"/>
            <w:vAlign w:val="center"/>
          </w:tcPr>
          <w:p w14:paraId="77E637C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每年1次</w:t>
            </w:r>
          </w:p>
        </w:tc>
        <w:tc>
          <w:tcPr>
            <w:tcW w:w="1442" w:type="dxa"/>
            <w:vAlign w:val="center"/>
          </w:tcPr>
          <w:p w14:paraId="5E40B6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321006001000</w:t>
            </w:r>
          </w:p>
        </w:tc>
        <w:tc>
          <w:tcPr>
            <w:tcW w:w="1393" w:type="dxa"/>
            <w:vAlign w:val="center"/>
          </w:tcPr>
          <w:p w14:paraId="45CAB4EE">
            <w:pPr>
              <w:keepNext w:val="0"/>
              <w:keepLines w:val="0"/>
              <w:widowControl/>
              <w:suppressLineNumbers w:val="0"/>
              <w:jc w:val="center"/>
              <w:textAlignment w:val="center"/>
              <w:rPr>
                <w:rFonts w:ascii="Times New Roman" w:hAnsi="Times New Roman"/>
                <w:b/>
                <w:kern w:val="0"/>
                <w:sz w:val="18"/>
                <w:szCs w:val="18"/>
              </w:rPr>
            </w:pPr>
            <w:r>
              <w:rPr>
                <w:rFonts w:hint="eastAsia" w:ascii="宋体" w:hAnsi="宋体" w:eastAsia="宋体" w:cs="宋体"/>
                <w:i w:val="0"/>
                <w:iCs w:val="0"/>
                <w:color w:val="000000"/>
                <w:kern w:val="0"/>
                <w:sz w:val="20"/>
                <w:szCs w:val="20"/>
                <w:u w:val="none"/>
                <w:lang w:val="en-US" w:eastAsia="zh-CN" w:bidi="ar"/>
              </w:rPr>
              <w:t>科技类校外培训机构准入登记</w:t>
            </w:r>
          </w:p>
        </w:tc>
        <w:tc>
          <w:tcPr>
            <w:tcW w:w="770" w:type="dxa"/>
            <w:vAlign w:val="center"/>
          </w:tcPr>
          <w:p w14:paraId="0B9C15D7">
            <w:pPr>
              <w:rPr>
                <w:rFonts w:ascii="Times New Roman" w:hAnsi="Times New Roman"/>
                <w:b/>
                <w:kern w:val="0"/>
                <w:sz w:val="18"/>
                <w:szCs w:val="18"/>
              </w:rPr>
            </w:pPr>
          </w:p>
        </w:tc>
      </w:tr>
    </w:tbl>
    <w:p w14:paraId="4BCB8DF6">
      <w:pPr>
        <w:pStyle w:val="3"/>
      </w:pPr>
    </w:p>
    <w:sectPr>
      <w:footerReference r:id="rId3" w:type="default"/>
      <w:pgSz w:w="16830" w:h="11910" w:orient="landscape"/>
      <w:pgMar w:top="1559" w:right="2041" w:bottom="1559" w:left="1928" w:header="0" w:footer="822" w:gutter="0"/>
      <w:pgNumType w:fmt="numberInDash"/>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鼎简大宋">
    <w:altName w:val="Arial Unicode MS"/>
    <w:panose1 w:val="00000000000000000000"/>
    <w:charset w:val="00"/>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9C72B">
    <w:pPr>
      <w:pStyle w:val="4"/>
      <w:jc w:val="center"/>
      <w:rPr>
        <w:rFonts w:ascii="宋体" w:hAnsi="宋体"/>
        <w:sz w:val="30"/>
        <w:szCs w:val="30"/>
      </w:rPr>
    </w:pPr>
    <w:r>
      <w:rPr>
        <w:rFonts w:ascii="宋体" w:hAnsi="宋体"/>
        <w:sz w:val="30"/>
        <w:szCs w:val="30"/>
      </w:rPr>
      <w:fldChar w:fldCharType="begin"/>
    </w:r>
    <w:r>
      <w:rPr>
        <w:rFonts w:ascii="宋体" w:hAnsi="宋体"/>
        <w:sz w:val="30"/>
        <w:szCs w:val="30"/>
      </w:rPr>
      <w:instrText xml:space="preserve"> PAGE   \* MERGEFORMAT </w:instrText>
    </w:r>
    <w:r>
      <w:rPr>
        <w:rFonts w:ascii="宋体" w:hAnsi="宋体"/>
        <w:sz w:val="30"/>
        <w:szCs w:val="30"/>
      </w:rPr>
      <w:fldChar w:fldCharType="separate"/>
    </w:r>
    <w:r>
      <w:rPr>
        <w:rFonts w:ascii="宋体" w:hAnsi="宋体"/>
        <w:sz w:val="30"/>
        <w:szCs w:val="30"/>
        <w:lang w:val="zh-CN"/>
      </w:rPr>
      <w:t>-</w:t>
    </w:r>
    <w:r>
      <w:rPr>
        <w:rFonts w:ascii="宋体" w:hAnsi="宋体"/>
        <w:sz w:val="30"/>
        <w:szCs w:val="30"/>
      </w:rPr>
      <w:t xml:space="preserve"> 6 -</w:t>
    </w:r>
    <w:r>
      <w:rPr>
        <w:rFonts w:ascii="宋体" w:hAnsi="宋体"/>
        <w:sz w:val="30"/>
        <w:szCs w:val="30"/>
      </w:rPr>
      <w:fldChar w:fldCharType="end"/>
    </w:r>
  </w:p>
  <w:p w14:paraId="2FD4217C">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FF3049"/>
    <w:rsid w:val="00130ABE"/>
    <w:rsid w:val="00465C88"/>
    <w:rsid w:val="00582DBC"/>
    <w:rsid w:val="00636260"/>
    <w:rsid w:val="007864B9"/>
    <w:rsid w:val="00872CD2"/>
    <w:rsid w:val="00923F36"/>
    <w:rsid w:val="00983EFF"/>
    <w:rsid w:val="009976A6"/>
    <w:rsid w:val="009A0C9B"/>
    <w:rsid w:val="00AF5B39"/>
    <w:rsid w:val="00B12A08"/>
    <w:rsid w:val="00C95E25"/>
    <w:rsid w:val="00E07377"/>
    <w:rsid w:val="00EE2F44"/>
    <w:rsid w:val="00EF40D9"/>
    <w:rsid w:val="00FB5C81"/>
    <w:rsid w:val="00FF3049"/>
    <w:rsid w:val="05E6436D"/>
    <w:rsid w:val="0E727F33"/>
    <w:rsid w:val="43931DE2"/>
    <w:rsid w:val="45865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TOC1"/>
    <w:basedOn w:val="1"/>
    <w:next w:val="1"/>
    <w:qFormat/>
    <w:uiPriority w:val="0"/>
  </w:style>
  <w:style w:type="paragraph" w:styleId="3">
    <w:name w:val="Body Text"/>
    <w:basedOn w:val="1"/>
    <w:link w:val="11"/>
    <w:qFormat/>
    <w:uiPriority w:val="0"/>
    <w:pPr>
      <w:spacing w:after="120"/>
    </w:pPr>
  </w:style>
  <w:style w:type="paragraph" w:styleId="4">
    <w:name w:val="footer"/>
    <w:basedOn w:val="1"/>
    <w:link w:val="12"/>
    <w:qFormat/>
    <w:uiPriority w:val="99"/>
    <w:pPr>
      <w:snapToGrid w:val="0"/>
      <w:jc w:val="left"/>
    </w:pPr>
    <w:rPr>
      <w:sz w:val="18"/>
    </w:rPr>
  </w:style>
  <w:style w:type="paragraph" w:styleId="5">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rFonts w:ascii="Times New Roman" w:hAnsi="Times New Roman" w:cs="Times New Roman"/>
      <w:sz w:val="24"/>
    </w:rPr>
  </w:style>
  <w:style w:type="character" w:styleId="9">
    <w:name w:val="Strong"/>
    <w:basedOn w:val="8"/>
    <w:qFormat/>
    <w:uiPriority w:val="0"/>
    <w:rPr>
      <w:b/>
    </w:rPr>
  </w:style>
  <w:style w:type="character" w:styleId="10">
    <w:name w:val="Hyperlink"/>
    <w:basedOn w:val="8"/>
    <w:unhideWhenUsed/>
    <w:qFormat/>
    <w:uiPriority w:val="99"/>
    <w:rPr>
      <w:color w:val="0000FF" w:themeColor="hyperlink"/>
      <w:u w:val="single"/>
    </w:rPr>
  </w:style>
  <w:style w:type="character" w:customStyle="1" w:styleId="11">
    <w:name w:val="正文文本 Char"/>
    <w:basedOn w:val="8"/>
    <w:link w:val="3"/>
    <w:uiPriority w:val="0"/>
    <w:rPr>
      <w:rFonts w:ascii="Calibri" w:hAnsi="Calibri" w:eastAsia="宋体" w:cs="Calibri"/>
      <w:szCs w:val="24"/>
    </w:rPr>
  </w:style>
  <w:style w:type="character" w:customStyle="1" w:styleId="12">
    <w:name w:val="页脚 Char"/>
    <w:basedOn w:val="8"/>
    <w:link w:val="4"/>
    <w:qFormat/>
    <w:uiPriority w:val="99"/>
    <w:rPr>
      <w:rFonts w:ascii="Calibri" w:hAnsi="Calibri" w:eastAsia="宋体" w:cs="Calibri"/>
      <w:sz w:val="18"/>
      <w:szCs w:val="24"/>
    </w:rPr>
  </w:style>
  <w:style w:type="paragraph" w:customStyle="1" w:styleId="13">
    <w:name w:val="文头"/>
    <w:basedOn w:val="1"/>
    <w:qFormat/>
    <w:uiPriority w:val="0"/>
    <w:pPr>
      <w:tabs>
        <w:tab w:val="left" w:pos="6663"/>
      </w:tabs>
      <w:spacing w:before="40" w:after="800" w:line="1640" w:lineRule="atLeast"/>
      <w:ind w:left="511" w:right="227" w:hanging="284"/>
      <w:jc w:val="distribute"/>
    </w:pPr>
    <w:rPr>
      <w:rFonts w:ascii="汉鼎简大宋" w:hAnsi="Times New Roman" w:eastAsia="汉鼎简大宋"/>
      <w:b/>
      <w:color w:val="FF0000"/>
      <w:w w:val="50"/>
      <w:sz w:val="136"/>
    </w:rPr>
  </w:style>
  <w:style w:type="character" w:customStyle="1" w:styleId="14">
    <w:name w:val="页眉 Char"/>
    <w:basedOn w:val="8"/>
    <w:link w:val="5"/>
    <w:semiHidden/>
    <w:uiPriority w:val="99"/>
    <w:rPr>
      <w:rFonts w:ascii="Calibri" w:hAnsi="Calibri" w:eastAsia="宋体"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1</Pages>
  <Words>195</Words>
  <Characters>203</Characters>
  <Lines>18</Lines>
  <Paragraphs>5</Paragraphs>
  <TotalTime>21</TotalTime>
  <ScaleCrop>false</ScaleCrop>
  <LinksUpToDate>false</LinksUpToDate>
  <CharactersWithSpaces>203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2026-03-13T07:14:00Z</dcterms:created>
  <dc:creator>金敏华</dc:creator>
  <cp:lastModifiedBy>小火锅</cp:lastModifiedBy>
  <cp:lastPrinted>2026-03-24T02:36:46Z</cp:lastPrinted>
  <dcterms:modified xsi:type="dcterms:W3CDTF">2026-03-24T03:35:16Z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eyJoZGlkIjoiNjUzMzU1OGQ4ODJiMTI2OWY5MDk4NDYyOWU2ZTI3MGIiLCJ1c2VySWQiOiI2MjkwOTY1MzIifQ==</vt:lpwstr>
  </property>
  <property fmtid="{D5CDD505-2E9C-101B-9397-08002B2CF9AE}" pid="3" name="KSOProductBuildVer">
    <vt:lpwstr>2052-12.1.0.25225</vt:lpwstr>
  </property>
  <property fmtid="{D5CDD505-2E9C-101B-9397-08002B2CF9AE}" pid="4" name="ICV">
    <vt:lpwstr>6B6C8B9F1FAD450487AFACDB71D99B29_12</vt:lpwstr>
  </property>
</Properties>
</file>