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区工信局每年对同一经营主体同一经营场所的有计划现场检查次数原则上不超过1次（不包括上级工信部门部署的专项检查）。根据法律法规规章规定、投诉举报、转办交办、数据监测、企业申请等确需实施多次行政检查的，可不受上述次数限制，但不能超过合理次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8D0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2025-08-26T07:53:50Z</dcterms:created>
  <dc:creator>Administrator</dc:creator>
  <cp:lastModifiedBy>工信局</cp:lastModifiedBy>
  <dcterms:modified xsi:type="dcterms:W3CDTF">2025-08-26T07:54:21Z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431D2C237FB94AB8BE5BBC9FE0394F27</vt:lpwstr>
  </property>
</Properties>
</file>