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53" w:rsidRDefault="00A45C94">
      <w:pPr>
        <w:adjustRightInd w:val="0"/>
        <w:spacing w:line="59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省生态环境保护督察整改公示</w:t>
      </w:r>
    </w:p>
    <w:p w:rsidR="005A2153" w:rsidRDefault="005A2153">
      <w:pPr>
        <w:autoSpaceDE/>
        <w:autoSpaceDN/>
        <w:snapToGrid/>
        <w:spacing w:line="580" w:lineRule="exact"/>
        <w:ind w:leftChars="-133" w:left="-426" w:rightChars="-149" w:right="-477" w:firstLine="0"/>
        <w:jc w:val="center"/>
        <w:rPr>
          <w:rFonts w:eastAsia="方正小标宋_GBK"/>
          <w:snapToGrid/>
          <w:kern w:val="2"/>
          <w:szCs w:val="32"/>
        </w:rPr>
      </w:pPr>
    </w:p>
    <w:p w:rsidR="005A2153" w:rsidRDefault="00A45C94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《苏州市贯彻落实省生态环境保护督察例行督察反馈意见整改方案》明确的</w:t>
      </w:r>
      <w:r>
        <w:rPr>
          <w:rFonts w:hint="eastAsia"/>
          <w:color w:val="000000"/>
          <w:szCs w:val="32"/>
        </w:rPr>
        <w:t>光福景区太湖边小浮山存在违法违规填埋的问题</w:t>
      </w:r>
      <w:r>
        <w:rPr>
          <w:color w:val="000000"/>
          <w:szCs w:val="32"/>
        </w:rPr>
        <w:t>整改事项已整改完成。根据《江苏省生态环境保护督察整改工作办法》等文件要求，现将该问题整改完成情况公示如下：</w:t>
      </w:r>
    </w:p>
    <w:p w:rsidR="005A2153" w:rsidRDefault="00A45C94" w:rsidP="00AE0B5A">
      <w:pPr>
        <w:numPr>
          <w:ilvl w:val="0"/>
          <w:numId w:val="1"/>
        </w:num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整改问题</w:t>
      </w:r>
    </w:p>
    <w:p w:rsidR="005A2153" w:rsidRDefault="00A45C94">
      <w:pPr>
        <w:pStyle w:val="Default"/>
        <w:overflowPunct w:val="0"/>
        <w:autoSpaceDE/>
        <w:autoSpaceDN/>
        <w:snapToGrid w:val="0"/>
        <w:spacing w:line="580" w:lineRule="exact"/>
        <w:ind w:left="630"/>
        <w:jc w:val="both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光福景区太湖边小浮山存在违法违规填埋问题</w:t>
      </w:r>
    </w:p>
    <w:p w:rsidR="005A2153" w:rsidRDefault="00A45C94" w:rsidP="00AE0B5A">
      <w:pPr>
        <w:numPr>
          <w:ilvl w:val="0"/>
          <w:numId w:val="2"/>
        </w:num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整改实施主体</w:t>
      </w:r>
    </w:p>
    <w:p w:rsidR="005A2153" w:rsidRDefault="00A45C94">
      <w:pPr>
        <w:overflowPunct w:val="0"/>
        <w:spacing w:line="590" w:lineRule="exact"/>
        <w:ind w:firstLine="0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 w:hint="eastAsia"/>
          <w:b/>
          <w:bCs/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吴中区光福镇人民政府</w:t>
      </w:r>
    </w:p>
    <w:p w:rsidR="005A2153" w:rsidRDefault="00A45C94" w:rsidP="00AE0B5A">
      <w:pPr>
        <w:numPr>
          <w:ilvl w:val="0"/>
          <w:numId w:val="2"/>
        </w:num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重点措施</w:t>
      </w:r>
    </w:p>
    <w:p w:rsidR="005A2153" w:rsidRDefault="00A45C94">
      <w:pPr>
        <w:pStyle w:val="Default"/>
        <w:numPr>
          <w:ilvl w:val="0"/>
          <w:numId w:val="3"/>
        </w:numPr>
        <w:overflowPunct w:val="0"/>
        <w:autoSpaceDE/>
        <w:autoSpaceDN/>
        <w:snapToGrid w:val="0"/>
        <w:spacing w:line="580" w:lineRule="exact"/>
        <w:ind w:firstLine="624"/>
        <w:jc w:val="both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立即停止填土，对违法违规行为进行处罚。严格禁止新的土方进入，切实防范发生破坏生态环境行为。</w:t>
      </w:r>
    </w:p>
    <w:p w:rsidR="005A2153" w:rsidRDefault="00A45C94">
      <w:pPr>
        <w:pStyle w:val="Default"/>
        <w:numPr>
          <w:ilvl w:val="0"/>
          <w:numId w:val="3"/>
        </w:numPr>
        <w:overflowPunct w:val="0"/>
        <w:autoSpaceDE/>
        <w:autoSpaceDN/>
        <w:snapToGrid w:val="0"/>
        <w:spacing w:line="580" w:lineRule="exact"/>
        <w:ind w:firstLine="624"/>
        <w:jc w:val="both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对光福镇太湖边小浮山坑塘土地进行评估，根据评估结果，依法依规采取处置措施。</w:t>
      </w:r>
    </w:p>
    <w:p w:rsidR="005A2153" w:rsidRDefault="00A45C94">
      <w:pPr>
        <w:pStyle w:val="Default"/>
        <w:numPr>
          <w:ilvl w:val="0"/>
          <w:numId w:val="3"/>
        </w:numPr>
        <w:overflowPunct w:val="0"/>
        <w:autoSpaceDE/>
        <w:autoSpaceDN/>
        <w:snapToGrid w:val="0"/>
        <w:spacing w:line="580" w:lineRule="exact"/>
        <w:ind w:firstLine="624"/>
        <w:jc w:val="both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强化日常监管，开展全面检查，保持高压态势。</w:t>
      </w:r>
    </w:p>
    <w:p w:rsidR="005A2153" w:rsidRDefault="00A45C94" w:rsidP="00AE0B5A">
      <w:pPr>
        <w:numPr>
          <w:ilvl w:val="0"/>
          <w:numId w:val="2"/>
        </w:num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目标任务</w:t>
      </w:r>
    </w:p>
    <w:p w:rsidR="005A2153" w:rsidRDefault="00A45C94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强化监管，避免违法倾倒行为；确保小浮山地块土壤等相关环境质量符合要求。</w:t>
      </w:r>
    </w:p>
    <w:p w:rsidR="005A2153" w:rsidRDefault="00A45C94" w:rsidP="00AE0B5A">
      <w:pPr>
        <w:numPr>
          <w:ilvl w:val="0"/>
          <w:numId w:val="2"/>
        </w:num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完成时限</w:t>
      </w:r>
    </w:p>
    <w:p w:rsidR="005A2153" w:rsidRDefault="00A45C94" w:rsidP="00AE0B5A">
      <w:pPr>
        <w:overflowPunct w:val="0"/>
        <w:spacing w:line="590" w:lineRule="exact"/>
        <w:ind w:leftChars="200" w:left="640" w:firstLine="0"/>
        <w:rPr>
          <w:rFonts w:eastAsia="方正黑体_GBK"/>
          <w:color w:val="000000"/>
          <w:szCs w:val="32"/>
        </w:rPr>
      </w:pPr>
      <w:r>
        <w:rPr>
          <w:rFonts w:eastAsia="方正黑体_GBK" w:hint="eastAsia"/>
          <w:color w:val="000000"/>
          <w:szCs w:val="32"/>
        </w:rPr>
        <w:t>2022</w:t>
      </w:r>
      <w:r>
        <w:rPr>
          <w:rFonts w:eastAsia="方正黑体_GBK" w:hint="eastAsia"/>
          <w:color w:val="000000"/>
          <w:szCs w:val="32"/>
        </w:rPr>
        <w:t>年</w:t>
      </w:r>
      <w:r>
        <w:rPr>
          <w:rFonts w:eastAsia="方正黑体_GBK" w:hint="eastAsia"/>
          <w:color w:val="000000"/>
          <w:szCs w:val="32"/>
        </w:rPr>
        <w:t>12</w:t>
      </w:r>
      <w:r>
        <w:rPr>
          <w:rFonts w:eastAsia="方正黑体_GBK" w:hint="eastAsia"/>
          <w:color w:val="000000"/>
          <w:szCs w:val="32"/>
        </w:rPr>
        <w:t>月底前</w:t>
      </w:r>
    </w:p>
    <w:p w:rsidR="005A2153" w:rsidRDefault="00A45C94" w:rsidP="00AE0B5A">
      <w:pPr>
        <w:numPr>
          <w:ilvl w:val="0"/>
          <w:numId w:val="2"/>
        </w:num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整改完成情况</w:t>
      </w:r>
    </w:p>
    <w:p w:rsidR="005A2153" w:rsidRDefault="00A45C94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lastRenderedPageBreak/>
        <w:t>（一）小浮</w:t>
      </w:r>
      <w:proofErr w:type="gramStart"/>
      <w:r>
        <w:rPr>
          <w:rFonts w:hint="eastAsia"/>
          <w:color w:val="000000"/>
          <w:szCs w:val="32"/>
        </w:rPr>
        <w:t>山地块于</w:t>
      </w:r>
      <w:r>
        <w:rPr>
          <w:rFonts w:hint="eastAsia"/>
          <w:color w:val="000000"/>
          <w:szCs w:val="32"/>
        </w:rPr>
        <w:t>2021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11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日</w:t>
      </w:r>
      <w:proofErr w:type="gramEnd"/>
      <w:r>
        <w:rPr>
          <w:rFonts w:hint="eastAsia"/>
          <w:color w:val="000000"/>
          <w:szCs w:val="32"/>
        </w:rPr>
        <w:t>停止填土。地块填土土方来自于香山街道舟山花园五期项目，该项目地块于</w:t>
      </w:r>
      <w:r>
        <w:rPr>
          <w:rFonts w:hint="eastAsia"/>
          <w:color w:val="000000"/>
          <w:szCs w:val="32"/>
        </w:rPr>
        <w:t>2020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9</w:t>
      </w:r>
      <w:r>
        <w:rPr>
          <w:rFonts w:hint="eastAsia"/>
          <w:color w:val="000000"/>
          <w:szCs w:val="32"/>
        </w:rPr>
        <w:t>月进行了土壤调查，根据报告结果该地块土壤和底泥所检污染物含量均未超过《土壤环境质量建设用地土壤污染风险管控标准（试行）》（</w:t>
      </w:r>
      <w:r>
        <w:rPr>
          <w:rFonts w:hint="eastAsia"/>
          <w:color w:val="000000"/>
          <w:szCs w:val="32"/>
        </w:rPr>
        <w:t>GB36600-2018</w:t>
      </w:r>
      <w:r>
        <w:rPr>
          <w:rFonts w:hint="eastAsia"/>
          <w:color w:val="000000"/>
          <w:szCs w:val="32"/>
        </w:rPr>
        <w:t>）第一类筛选</w:t>
      </w:r>
      <w:proofErr w:type="gramStart"/>
      <w:r>
        <w:rPr>
          <w:rFonts w:hint="eastAsia"/>
          <w:color w:val="000000"/>
          <w:szCs w:val="32"/>
        </w:rPr>
        <w:t>值标准</w:t>
      </w:r>
      <w:proofErr w:type="gramEnd"/>
      <w:r>
        <w:rPr>
          <w:rFonts w:hint="eastAsia"/>
          <w:color w:val="000000"/>
          <w:szCs w:val="32"/>
        </w:rPr>
        <w:t>限值。</w:t>
      </w:r>
    </w:p>
    <w:p w:rsidR="005A2153" w:rsidRDefault="00A45C94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调查过程中，发现小浮山区域倾倒建筑垃圾行为，光福镇综合行政执法局于</w:t>
      </w:r>
      <w:r>
        <w:rPr>
          <w:rFonts w:hint="eastAsia"/>
          <w:color w:val="000000"/>
          <w:szCs w:val="32"/>
        </w:rPr>
        <w:t>2022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10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日对该行为进行处罚，并处罚金</w:t>
      </w:r>
      <w:r>
        <w:rPr>
          <w:rFonts w:hint="eastAsia"/>
          <w:color w:val="000000"/>
          <w:szCs w:val="32"/>
        </w:rPr>
        <w:t>6000</w:t>
      </w:r>
      <w:r>
        <w:rPr>
          <w:rFonts w:hint="eastAsia"/>
          <w:color w:val="000000"/>
          <w:szCs w:val="32"/>
        </w:rPr>
        <w:t>元，同时责令对擅自倾倒建筑垃圾区域进行清理，并于当日全部清理完毕。</w:t>
      </w:r>
    </w:p>
    <w:p w:rsidR="005A2153" w:rsidRDefault="00A45C94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加强巡查，将小浮山区域纳入</w:t>
      </w:r>
      <w:proofErr w:type="gramStart"/>
      <w:r>
        <w:rPr>
          <w:rFonts w:hint="eastAsia"/>
          <w:color w:val="000000"/>
          <w:szCs w:val="32"/>
        </w:rPr>
        <w:t>网格员</w:t>
      </w:r>
      <w:proofErr w:type="gramEnd"/>
      <w:r>
        <w:rPr>
          <w:rFonts w:hint="eastAsia"/>
          <w:color w:val="000000"/>
          <w:szCs w:val="32"/>
        </w:rPr>
        <w:t>巡查对象，严禁新的土方进入。</w:t>
      </w:r>
    </w:p>
    <w:p w:rsidR="005A2153" w:rsidRDefault="00A45C94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（二）</w:t>
      </w:r>
      <w:r>
        <w:rPr>
          <w:rFonts w:hint="eastAsia"/>
          <w:color w:val="000000"/>
          <w:szCs w:val="32"/>
        </w:rPr>
        <w:t>2022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11</w:t>
      </w:r>
      <w:r>
        <w:rPr>
          <w:rFonts w:hint="eastAsia"/>
          <w:color w:val="000000"/>
          <w:szCs w:val="32"/>
        </w:rPr>
        <w:t>月完成小浮山地块坑塘复垦项目填土区域土壤及地下水现状调查，</w:t>
      </w:r>
      <w:r>
        <w:rPr>
          <w:rFonts w:hint="eastAsia"/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月完成调查报告编制，并通过专家评审，填土区域内填土层土壤所检污染物含量均未超过《土壤环境质量农用地土壤污染风险管控标准（试行）》（</w:t>
      </w:r>
      <w:r>
        <w:rPr>
          <w:rFonts w:hint="eastAsia"/>
          <w:color w:val="000000"/>
          <w:szCs w:val="32"/>
        </w:rPr>
        <w:t>GB15618-2018</w:t>
      </w:r>
      <w:r>
        <w:rPr>
          <w:rFonts w:hint="eastAsia"/>
          <w:color w:val="000000"/>
          <w:szCs w:val="32"/>
        </w:rPr>
        <w:t>）农用地筛选值标准；填土区域调查深度范围内土壤所检污染物含量均未超过《土壤环境质量建设用地土壤污染风险管控标准（试行）》（</w:t>
      </w:r>
      <w:r>
        <w:rPr>
          <w:rFonts w:hint="eastAsia"/>
          <w:color w:val="000000"/>
          <w:szCs w:val="32"/>
        </w:rPr>
        <w:t>GB36600-2018</w:t>
      </w:r>
      <w:r>
        <w:rPr>
          <w:rFonts w:hint="eastAsia"/>
          <w:color w:val="000000"/>
          <w:szCs w:val="32"/>
        </w:rPr>
        <w:t>）第一类筛选</w:t>
      </w:r>
      <w:proofErr w:type="gramStart"/>
      <w:r>
        <w:rPr>
          <w:rFonts w:hint="eastAsia"/>
          <w:color w:val="000000"/>
          <w:szCs w:val="32"/>
        </w:rPr>
        <w:t>值标准</w:t>
      </w:r>
      <w:proofErr w:type="gramEnd"/>
      <w:r>
        <w:rPr>
          <w:rFonts w:hint="eastAsia"/>
          <w:color w:val="000000"/>
          <w:szCs w:val="32"/>
        </w:rPr>
        <w:t>限值，地下水所检污染物浓度均未超过《地下水质量标准》（</w:t>
      </w:r>
      <w:r>
        <w:rPr>
          <w:rFonts w:hint="eastAsia"/>
          <w:color w:val="000000"/>
          <w:szCs w:val="32"/>
        </w:rPr>
        <w:t>GB/T 14848-2017</w:t>
      </w:r>
      <w:r>
        <w:rPr>
          <w:rFonts w:hint="eastAsia"/>
          <w:color w:val="000000"/>
          <w:szCs w:val="32"/>
        </w:rPr>
        <w:t>）中</w:t>
      </w:r>
      <w:r>
        <w:rPr>
          <w:rFonts w:hint="eastAsia"/>
          <w:color w:val="000000"/>
          <w:szCs w:val="32"/>
        </w:rPr>
        <w:t>III</w:t>
      </w:r>
      <w:r>
        <w:rPr>
          <w:rFonts w:hint="eastAsia"/>
          <w:color w:val="000000"/>
          <w:szCs w:val="32"/>
        </w:rPr>
        <w:t>类标准限值及《沪环土</w:t>
      </w:r>
      <w:r>
        <w:rPr>
          <w:rFonts w:hint="eastAsia"/>
          <w:color w:val="000000"/>
          <w:szCs w:val="32"/>
        </w:rPr>
        <w:t>[2020]62</w:t>
      </w:r>
      <w:r>
        <w:rPr>
          <w:rFonts w:hint="eastAsia"/>
          <w:color w:val="000000"/>
          <w:szCs w:val="32"/>
        </w:rPr>
        <w:t>号文》中第一类用地筛选值。</w:t>
      </w:r>
    </w:p>
    <w:p w:rsidR="005A2153" w:rsidRDefault="00A45C94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（三）一是加强全镇范围内建设项目管控，涉及土壤的</w:t>
      </w:r>
      <w:r>
        <w:rPr>
          <w:rFonts w:hint="eastAsia"/>
          <w:color w:val="000000"/>
          <w:szCs w:val="32"/>
        </w:rPr>
        <w:lastRenderedPageBreak/>
        <w:t>项目全部对照要求做好调查，土方规范转运。二是按规定加强建筑垃圾、园林绿化垃圾等的综合利用或处置。三是强化督导落实，落实长效管理，切实巩固第二轮省环保督查反馈问题整改成果。</w:t>
      </w:r>
    </w:p>
    <w:p w:rsidR="005A2153" w:rsidRDefault="00A45C94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如对该问题整改完成情况有异议，请在公示期间（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22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15</w:t>
      </w:r>
      <w:r>
        <w:rPr>
          <w:color w:val="000000"/>
          <w:szCs w:val="32"/>
        </w:rPr>
        <w:t>日至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22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2</w:t>
      </w:r>
      <w:r w:rsidR="00AE0B5A">
        <w:rPr>
          <w:rFonts w:hint="eastAsia"/>
          <w:color w:val="000000"/>
          <w:szCs w:val="32"/>
        </w:rPr>
        <w:t>8</w:t>
      </w:r>
      <w:r>
        <w:rPr>
          <w:color w:val="000000"/>
          <w:szCs w:val="32"/>
        </w:rPr>
        <w:t>日）向</w:t>
      </w:r>
      <w:r>
        <w:rPr>
          <w:rFonts w:hint="eastAsia"/>
          <w:color w:val="000000"/>
          <w:szCs w:val="32"/>
        </w:rPr>
        <w:t>苏州市吴中生态环境局</w:t>
      </w:r>
      <w:r>
        <w:rPr>
          <w:color w:val="000000"/>
          <w:szCs w:val="32"/>
        </w:rPr>
        <w:t>单位反映。</w:t>
      </w:r>
    </w:p>
    <w:p w:rsidR="005A2153" w:rsidRDefault="00A45C94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监督电话（整改责任单位）：</w:t>
      </w:r>
      <w:r>
        <w:rPr>
          <w:rFonts w:hint="eastAsia"/>
          <w:color w:val="000000"/>
          <w:szCs w:val="32"/>
        </w:rPr>
        <w:t>0512-65645102</w:t>
      </w:r>
    </w:p>
    <w:p w:rsidR="005A2153" w:rsidRDefault="00A45C94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电子邮箱（整改责任单位）：</w:t>
      </w:r>
      <w:r>
        <w:rPr>
          <w:rFonts w:hint="eastAsia"/>
          <w:color w:val="000000"/>
          <w:szCs w:val="32"/>
        </w:rPr>
        <w:t>wzsthjzfj@163.com</w:t>
      </w:r>
    </w:p>
    <w:p w:rsidR="005A2153" w:rsidRDefault="005A2153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</w:p>
    <w:p w:rsidR="005A2153" w:rsidRDefault="005A2153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</w:p>
    <w:p w:rsidR="00C05892" w:rsidRDefault="00A45C94" w:rsidP="00C05892">
      <w:pPr>
        <w:spacing w:line="560" w:lineRule="exact"/>
        <w:ind w:firstLineChars="1844" w:firstLine="5901"/>
        <w:rPr>
          <w:rFonts w:eastAsia="仿宋_GB2312"/>
          <w:bCs/>
          <w:szCs w:val="32"/>
        </w:rPr>
      </w:pPr>
      <w:r>
        <w:rPr>
          <w:rFonts w:hint="eastAsia"/>
          <w:color w:val="000000"/>
          <w:szCs w:val="32"/>
        </w:rPr>
        <w:t xml:space="preserve"> </w:t>
      </w:r>
      <w:r w:rsidR="00C05892">
        <w:rPr>
          <w:rFonts w:eastAsia="仿宋_GB2312" w:hint="eastAsia"/>
          <w:bCs/>
          <w:szCs w:val="32"/>
        </w:rPr>
        <w:t>吴中区党委</w:t>
      </w:r>
    </w:p>
    <w:p w:rsidR="005A2153" w:rsidRPr="00C05892" w:rsidRDefault="00C05892" w:rsidP="00C05892">
      <w:pPr>
        <w:spacing w:line="560" w:lineRule="exact"/>
        <w:ind w:firstLineChars="1743" w:firstLine="5578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吴中区人民政府</w:t>
      </w:r>
    </w:p>
    <w:p w:rsidR="005A2153" w:rsidRDefault="00A45C94">
      <w:r>
        <w:rPr>
          <w:color w:val="000000"/>
          <w:szCs w:val="32"/>
        </w:rPr>
        <w:t xml:space="preserve">                  </w:t>
      </w:r>
      <w:r>
        <w:rPr>
          <w:rFonts w:hint="eastAsia"/>
          <w:color w:val="000000"/>
          <w:szCs w:val="32"/>
        </w:rPr>
        <w:t xml:space="preserve">     </w:t>
      </w:r>
      <w:bookmarkStart w:id="0" w:name="_GoBack"/>
      <w:bookmarkEnd w:id="0"/>
      <w:r>
        <w:rPr>
          <w:rFonts w:hint="eastAsia"/>
          <w:color w:val="000000"/>
          <w:szCs w:val="32"/>
        </w:rPr>
        <w:t xml:space="preserve"> </w:t>
      </w:r>
      <w:r w:rsidR="00C05892">
        <w:rPr>
          <w:rFonts w:hint="eastAsia"/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 xml:space="preserve"> 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22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1</w:t>
      </w:r>
      <w:r w:rsidR="00AE0B5A">
        <w:rPr>
          <w:rFonts w:hint="eastAsia"/>
          <w:color w:val="000000"/>
          <w:szCs w:val="32"/>
        </w:rPr>
        <w:t>5</w:t>
      </w:r>
      <w:r>
        <w:rPr>
          <w:color w:val="000000"/>
          <w:szCs w:val="32"/>
        </w:rPr>
        <w:t>日</w:t>
      </w:r>
    </w:p>
    <w:sectPr w:rsidR="005A2153" w:rsidSect="005A2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2D" w:rsidRDefault="00FE2E2D">
      <w:pPr>
        <w:spacing w:line="240" w:lineRule="auto"/>
      </w:pPr>
      <w:r>
        <w:separator/>
      </w:r>
    </w:p>
  </w:endnote>
  <w:endnote w:type="continuationSeparator" w:id="0">
    <w:p w:rsidR="00FE2E2D" w:rsidRDefault="00FE2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2D" w:rsidRDefault="00FE2E2D">
      <w:pPr>
        <w:spacing w:line="240" w:lineRule="auto"/>
      </w:pPr>
      <w:r>
        <w:separator/>
      </w:r>
    </w:p>
  </w:footnote>
  <w:footnote w:type="continuationSeparator" w:id="0">
    <w:p w:rsidR="00FE2E2D" w:rsidRDefault="00FE2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86C5FE"/>
    <w:multiLevelType w:val="singleLevel"/>
    <w:tmpl w:val="8A86C5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063376"/>
    <w:multiLevelType w:val="singleLevel"/>
    <w:tmpl w:val="2B06337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0608EC1"/>
    <w:multiLevelType w:val="singleLevel"/>
    <w:tmpl w:val="50608EC1"/>
    <w:lvl w:ilvl="0">
      <w:start w:val="1"/>
      <w:numFmt w:val="chineseCounting"/>
      <w:suff w:val="nothing"/>
      <w:lvlText w:val="（%1）"/>
      <w:lvlJc w:val="left"/>
      <w:pPr>
        <w:ind w:left="6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NlODhiNDlmZTcxOWIwYzE3M2MyZmFlYzA1MWM1NjEifQ=="/>
  </w:docVars>
  <w:rsids>
    <w:rsidRoot w:val="005A2153"/>
    <w:rsid w:val="005943ED"/>
    <w:rsid w:val="005A2153"/>
    <w:rsid w:val="00A45C94"/>
    <w:rsid w:val="00AE0B5A"/>
    <w:rsid w:val="00C05892"/>
    <w:rsid w:val="00FE2E2D"/>
    <w:rsid w:val="0DFF017B"/>
    <w:rsid w:val="1E346F9F"/>
    <w:rsid w:val="2FAE1A19"/>
    <w:rsid w:val="4BD261DF"/>
    <w:rsid w:val="5089750C"/>
    <w:rsid w:val="51DF6E46"/>
    <w:rsid w:val="5532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15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2153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sz w:val="24"/>
      <w:szCs w:val="24"/>
    </w:rPr>
  </w:style>
  <w:style w:type="paragraph" w:styleId="a3">
    <w:name w:val="header"/>
    <w:basedOn w:val="a"/>
    <w:link w:val="Char"/>
    <w:rsid w:val="00AE0B5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0B5A"/>
    <w:rPr>
      <w:rFonts w:ascii="Times New Roman" w:eastAsia="方正仿宋_GBK" w:hAnsi="Times New Roman" w:cs="Times New Roman"/>
      <w:snapToGrid w:val="0"/>
      <w:sz w:val="18"/>
      <w:szCs w:val="18"/>
    </w:rPr>
  </w:style>
  <w:style w:type="paragraph" w:styleId="a4">
    <w:name w:val="footer"/>
    <w:basedOn w:val="a"/>
    <w:link w:val="Char0"/>
    <w:rsid w:val="00AE0B5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0B5A"/>
    <w:rPr>
      <w:rFonts w:ascii="Times New Roman" w:eastAsia="方正仿宋_GBK" w:hAnsi="Times New Roman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1009</Characters>
  <Application>Microsoft Office Word</Application>
  <DocSecurity>0</DocSecurity>
  <Lines>8</Lines>
  <Paragraphs>2</Paragraphs>
  <ScaleCrop>false</ScaleCrop>
  <Company>Lenovo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肖丽娜</cp:lastModifiedBy>
  <cp:revision>3</cp:revision>
  <dcterms:created xsi:type="dcterms:W3CDTF">2022-12-13T08:28:00Z</dcterms:created>
  <dcterms:modified xsi:type="dcterms:W3CDTF">2023-01-31T06:52:00Z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552F5EBF120748BE9B4ADF53FBD79525</vt:lpwstr>
  </property>
</Properties>
</file>