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A288D2">
      <w:pPr>
        <w:spacing w:line="560" w:lineRule="exact"/>
        <w:jc w:val="center"/>
        <w:rPr>
          <w:rFonts w:ascii="Times New Roman" w:hAnsi="Times New Roman" w:eastAsia="方正小标宋简体"/>
          <w:sz w:val="44"/>
          <w:szCs w:val="44"/>
        </w:rPr>
      </w:pPr>
      <w:r>
        <w:rPr>
          <w:rFonts w:ascii="Times New Roman" w:hAnsi="Times New Roman" w:eastAsia="方正小标宋简体"/>
          <w:sz w:val="44"/>
          <w:szCs w:val="44"/>
        </w:rPr>
        <w:t>关于促进吴中区知识产权、质量标准高质量发展若干政策意见</w:t>
      </w:r>
    </w:p>
    <w:p w14:paraId="5A443C74">
      <w:pPr>
        <w:spacing w:line="560" w:lineRule="exact"/>
        <w:jc w:val="center"/>
        <w:rPr>
          <w:rFonts w:ascii="Times New Roman" w:hAnsi="Times New Roman" w:eastAsia="仿宋_GB2312"/>
          <w:spacing w:val="-10"/>
          <w:sz w:val="32"/>
          <w:szCs w:val="32"/>
        </w:rPr>
      </w:pPr>
      <w:r>
        <w:rPr>
          <w:rFonts w:ascii="Times New Roman" w:hAnsi="Times New Roman" w:eastAsia="仿宋_GB2312"/>
          <w:spacing w:val="-10"/>
          <w:sz w:val="32"/>
          <w:szCs w:val="32"/>
        </w:rPr>
        <w:t>（</w:t>
      </w:r>
      <w:r>
        <w:rPr>
          <w:rFonts w:hint="eastAsia" w:ascii="Times New Roman" w:hAnsi="Times New Roman" w:eastAsia="仿宋_GB2312"/>
          <w:spacing w:val="-10"/>
          <w:sz w:val="32"/>
          <w:szCs w:val="32"/>
          <w:lang w:eastAsia="zh-CN"/>
        </w:rPr>
        <w:t>征求意见</w:t>
      </w:r>
      <w:bookmarkStart w:id="1" w:name="_GoBack"/>
      <w:bookmarkEnd w:id="1"/>
      <w:r>
        <w:rPr>
          <w:rFonts w:ascii="Times New Roman" w:hAnsi="Times New Roman" w:eastAsia="仿宋_GB2312"/>
          <w:spacing w:val="-10"/>
          <w:sz w:val="32"/>
          <w:szCs w:val="32"/>
        </w:rPr>
        <w:t>稿）</w:t>
      </w:r>
    </w:p>
    <w:p w14:paraId="320F3CAD">
      <w:pPr>
        <w:spacing w:line="560" w:lineRule="exact"/>
        <w:ind w:firstLine="600" w:firstLineChars="200"/>
        <w:rPr>
          <w:rFonts w:ascii="Times New Roman" w:hAnsi="Times New Roman" w:eastAsia="仿宋_GB2312"/>
          <w:spacing w:val="-10"/>
          <w:sz w:val="32"/>
          <w:szCs w:val="32"/>
        </w:rPr>
      </w:pPr>
      <w:r>
        <w:rPr>
          <w:rFonts w:ascii="Times New Roman" w:hAnsi="Times New Roman" w:eastAsia="仿宋_GB2312"/>
          <w:spacing w:val="-10"/>
          <w:sz w:val="32"/>
          <w:szCs w:val="32"/>
        </w:rPr>
        <w:t>为深入贯彻习近平总书记关于高质量发展的重要论述，认真落实党中央、国务院关于知识产权强国战略</w:t>
      </w:r>
      <w:r>
        <w:rPr>
          <w:rFonts w:hint="eastAsia" w:ascii="Times New Roman" w:hAnsi="Times New Roman" w:eastAsia="仿宋_GB2312"/>
          <w:spacing w:val="-10"/>
          <w:sz w:val="32"/>
          <w:szCs w:val="32"/>
        </w:rPr>
        <w:t>、质量强国建设纲要</w:t>
      </w:r>
      <w:r>
        <w:rPr>
          <w:rFonts w:ascii="Times New Roman" w:hAnsi="Times New Roman" w:eastAsia="仿宋_GB2312"/>
          <w:spacing w:val="-10"/>
          <w:sz w:val="32"/>
          <w:szCs w:val="32"/>
        </w:rPr>
        <w:t>的各项决策部署，扎实推进“两个强区”建设，不断促进知识产权赋能、质量强基、标准引领，持续激发创新活力，</w:t>
      </w:r>
      <w:r>
        <w:rPr>
          <w:rFonts w:hint="eastAsia" w:ascii="Times New Roman" w:hAnsi="Times New Roman" w:eastAsia="仿宋_GB2312"/>
          <w:spacing w:val="-10"/>
          <w:sz w:val="32"/>
          <w:szCs w:val="32"/>
        </w:rPr>
        <w:t>深度赋能产业发展，</w:t>
      </w:r>
      <w:r>
        <w:rPr>
          <w:rFonts w:ascii="Times New Roman" w:hAnsi="Times New Roman" w:eastAsia="仿宋_GB2312"/>
          <w:spacing w:val="-10"/>
          <w:sz w:val="32"/>
          <w:szCs w:val="32"/>
        </w:rPr>
        <w:t>结合吴中区实际，特制定如下意见。</w:t>
      </w:r>
    </w:p>
    <w:p w14:paraId="4FE59332">
      <w:pPr>
        <w:spacing w:line="560" w:lineRule="exact"/>
        <w:ind w:firstLine="600" w:firstLineChars="200"/>
        <w:rPr>
          <w:rFonts w:ascii="Times New Roman" w:hAnsi="Times New Roman" w:eastAsia="黑体"/>
          <w:spacing w:val="-10"/>
          <w:sz w:val="32"/>
          <w:szCs w:val="32"/>
        </w:rPr>
      </w:pPr>
      <w:r>
        <w:rPr>
          <w:rFonts w:ascii="Times New Roman" w:hAnsi="Times New Roman" w:eastAsia="黑体"/>
          <w:spacing w:val="-10"/>
          <w:sz w:val="32"/>
          <w:szCs w:val="32"/>
        </w:rPr>
        <w:t>一、鼓励知识产权高质量创造</w:t>
      </w:r>
    </w:p>
    <w:p w14:paraId="6EAB4892">
      <w:pPr>
        <w:spacing w:line="560" w:lineRule="exact"/>
        <w:ind w:firstLine="603" w:firstLineChars="200"/>
        <w:rPr>
          <w:rFonts w:ascii="Times New Roman" w:hAnsi="Times New Roman" w:eastAsia="仿宋_GB2312"/>
          <w:color w:val="000000" w:themeColor="text1"/>
          <w:spacing w:val="-10"/>
          <w:sz w:val="32"/>
          <w:szCs w:val="32"/>
          <w:shd w:val="clear" w:color="auto" w:fill="FFFFFF"/>
          <w14:textFill>
            <w14:solidFill>
              <w14:schemeClr w14:val="tx1"/>
            </w14:solidFill>
          </w14:textFill>
        </w:rPr>
      </w:pP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1.激励典型示范创新活力。</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对获得世界知识产权组织（WIPO）全球奖的企业奖励100万元</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对获得中国专利金奖、银奖、优秀奖的专利权人分别奖励50万元、30万元、20万元</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对获得中国外观设计金奖、银奖、优秀奖的，分别</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奖励</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40万</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元</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、20万</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元</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、10万</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元（上述政策对属于区重点产业的企业，奖励金额增加</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3</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0%）。对</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获得江苏省专利金奖、银奖、优秀奖和发明人奖的，分别</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奖励</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30万元、20万元、10万元、10万元。获得苏州市优秀专利一等奖、二等奖、优秀外观设计奖、杰出发明人</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（设计人）</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奖的，分别</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奖励</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20万元、10万元、10万元、10万元。</w:t>
      </w:r>
    </w:p>
    <w:p w14:paraId="42A848E3">
      <w:pPr>
        <w:spacing w:line="560" w:lineRule="exact"/>
        <w:ind w:firstLine="603" w:firstLineChars="200"/>
        <w:rPr>
          <w:rFonts w:ascii="Times New Roman" w:hAnsi="Times New Roman" w:eastAsia="仿宋_GB2312"/>
          <w:color w:val="000000" w:themeColor="text1"/>
          <w:spacing w:val="-10"/>
          <w:sz w:val="32"/>
          <w:szCs w:val="32"/>
          <w:shd w:val="clear" w:color="auto" w:fill="FFFFFF"/>
          <w14:textFill>
            <w14:solidFill>
              <w14:schemeClr w14:val="tx1"/>
            </w14:solidFill>
          </w14:textFill>
        </w:rPr>
      </w:pP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2.加强海外知识产权布局。</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支持</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企业通过专利合作条约（PCT）</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或</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其他途径在国（境）外</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开展</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专利</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布局</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，获得美国、欧盟、英国发明专利授权的，每件奖励3万元</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；获得其他国家授权的，每个国家奖励1万元，</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同一件</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专利累计奖励</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不超过20万元。通过马德里协定注册国际商标，每件奖励1万元</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；每</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年度注册在5件或5件以上、并且延伸国总数达10个国家或地区，</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再</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奖励5万元，每</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个企业每</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年度奖励不超过20万元。</w:t>
      </w:r>
    </w:p>
    <w:p w14:paraId="632363EB">
      <w:pPr>
        <w:spacing w:line="560" w:lineRule="exact"/>
        <w:ind w:firstLine="603" w:firstLineChars="200"/>
        <w:rPr>
          <w:rFonts w:ascii="Times New Roman" w:hAnsi="Times New Roman" w:eastAsia="仿宋_GB2312"/>
          <w:color w:val="000000" w:themeColor="text1"/>
          <w:spacing w:val="-10"/>
          <w:sz w:val="32"/>
          <w:szCs w:val="32"/>
          <w:shd w:val="clear" w:color="auto" w:fill="FFFFFF"/>
          <w14:textFill>
            <w14:solidFill>
              <w14:schemeClr w14:val="tx1"/>
            </w14:solidFill>
          </w14:textFill>
        </w:rPr>
      </w:pP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3.推进数据知识产权登记。</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对获得数据知识产权登记证书的，满10件给予1万元的奖励，超过10件每件再给予1000元奖励，每家单位每年奖励不超过10万元。</w:t>
      </w:r>
    </w:p>
    <w:p w14:paraId="1D5BDC84">
      <w:pPr>
        <w:spacing w:line="560" w:lineRule="exact"/>
        <w:ind w:firstLine="600" w:firstLineChars="200"/>
        <w:rPr>
          <w:rFonts w:ascii="Times New Roman" w:hAnsi="Times New Roman" w:eastAsia="黑体"/>
          <w:spacing w:val="-10"/>
          <w:sz w:val="32"/>
          <w:szCs w:val="32"/>
        </w:rPr>
      </w:pPr>
      <w:r>
        <w:rPr>
          <w:rFonts w:ascii="Times New Roman" w:hAnsi="Times New Roman" w:eastAsia="黑体"/>
          <w:spacing w:val="-10"/>
          <w:sz w:val="32"/>
          <w:szCs w:val="32"/>
        </w:rPr>
        <w:t>二、促进知识产权强企培育</w:t>
      </w:r>
    </w:p>
    <w:p w14:paraId="35E13070">
      <w:pPr>
        <w:spacing w:line="560" w:lineRule="exact"/>
        <w:ind w:firstLine="603" w:firstLineChars="200"/>
        <w:rPr>
          <w:rFonts w:ascii="Times New Roman" w:hAnsi="Times New Roman" w:eastAsia="仿宋_GB2312"/>
          <w:color w:val="000000" w:themeColor="text1"/>
          <w:spacing w:val="-10"/>
          <w:sz w:val="32"/>
          <w:szCs w:val="32"/>
          <w:shd w:val="clear" w:color="auto" w:fill="FFFFFF"/>
          <w14:textFill>
            <w14:solidFill>
              <w14:schemeClr w14:val="tx1"/>
            </w14:solidFill>
          </w14:textFill>
        </w:rPr>
      </w:pP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4.推进商标品牌培育工程。</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对新获得地理标志商标、地理标志保护产品的单位，奖励20万元。经行政部门首次认定的中国驰名商标，每件奖励100万元。组织实施商标品牌战略推进计划项目，每家企业给予不超过20万元资金支持</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，每年</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支持不超过</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5家</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w:t>
      </w:r>
    </w:p>
    <w:p w14:paraId="3C5C52B5">
      <w:pPr>
        <w:spacing w:line="560" w:lineRule="exact"/>
        <w:ind w:firstLine="603" w:firstLineChars="200"/>
        <w:rPr>
          <w:rFonts w:ascii="Times New Roman" w:hAnsi="Times New Roman" w:eastAsia="仿宋_GB2312"/>
          <w:color w:val="000000" w:themeColor="text1"/>
          <w:spacing w:val="-10"/>
          <w:sz w:val="32"/>
          <w:szCs w:val="32"/>
          <w:shd w:val="clear" w:color="auto" w:fill="FFFFFF"/>
          <w14:textFill>
            <w14:solidFill>
              <w14:schemeClr w14:val="tx1"/>
            </w14:solidFill>
          </w14:textFill>
        </w:rPr>
      </w:pP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5.推进知识产权示范引领建设。</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对获评国家知识产权示范企业、优势企业的分别奖励50万元、20万元</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（对属于区重点产业的企业，奖励金额增加</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30</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w:t>
      </w:r>
    </w:p>
    <w:p w14:paraId="36582868">
      <w:pPr>
        <w:spacing w:line="560" w:lineRule="exact"/>
        <w:ind w:firstLine="603" w:firstLineChars="200"/>
        <w:rPr>
          <w:rFonts w:ascii="Times New Roman" w:hAnsi="Times New Roman" w:eastAsia="仿宋_GB2312"/>
          <w:color w:val="000000" w:themeColor="text1"/>
          <w:spacing w:val="-10"/>
          <w:sz w:val="32"/>
          <w:szCs w:val="32"/>
          <w:shd w:val="clear" w:color="auto" w:fill="FFFFFF"/>
          <w14:textFill>
            <w14:solidFill>
              <w14:schemeClr w14:val="tx1"/>
            </w14:solidFill>
          </w14:textFill>
        </w:rPr>
      </w:pP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6.加强领航企业培育。</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对有效发明专利3000件、1000件、500件及以上</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一个自然年</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度</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新增发明专利50件及以上，并且高价值专利占比</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超过</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35%的知识产权成长型及以上企业，分别给予200万</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元</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、1</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00</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万</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元</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、50万</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元</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1</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0万</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元</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的资金支持。对</w:t>
      </w:r>
      <w:r>
        <w:rPr>
          <w:rFonts w:hint="eastAsia" w:ascii="Times New Roman" w:hAnsi="Times New Roman" w:eastAsia="仿宋_GB2312"/>
          <w:color w:val="000000" w:themeColor="text1"/>
          <w:spacing w:val="-10"/>
          <w:sz w:val="32"/>
          <w:szCs w:val="32"/>
          <w:shd w:val="clear" w:color="auto" w:fill="FFFFFF"/>
          <w:lang w:eastAsia="zh-CN"/>
          <w14:textFill>
            <w14:solidFill>
              <w14:schemeClr w14:val="tx1"/>
            </w14:solidFill>
          </w14:textFill>
        </w:rPr>
        <w:t>纳入吴中区重点产业</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专利池管理的高价值专利（</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包括</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通过快速预审通道</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新</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获得授权、获得各级专利奖的专利</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获得质押融资</w:t>
      </w:r>
      <w:r>
        <w:rPr>
          <w:rFonts w:hint="eastAsia" w:ascii="Times New Roman" w:hAnsi="Times New Roman" w:eastAsia="仿宋_GB2312"/>
          <w:color w:val="000000" w:themeColor="text1"/>
          <w:spacing w:val="-10"/>
          <w:sz w:val="32"/>
          <w:szCs w:val="32"/>
          <w:shd w:val="clear" w:color="auto" w:fill="FFFFFF"/>
          <w:lang w:eastAsia="zh-CN"/>
          <w14:textFill>
            <w14:solidFill>
              <w14:schemeClr w14:val="tx1"/>
            </w14:solidFill>
          </w14:textFill>
        </w:rPr>
        <w:t>、</w:t>
      </w:r>
      <w:r>
        <w:rPr>
          <w:rFonts w:hint="eastAsia" w:ascii="Times New Roman" w:hAnsi="Times New Roman" w:eastAsia="仿宋_GB2312"/>
          <w:color w:val="000000" w:themeColor="text1"/>
          <w:spacing w:val="-10"/>
          <w:sz w:val="32"/>
          <w:szCs w:val="32"/>
          <w:shd w:val="clear" w:color="auto" w:fill="FFFFFF"/>
          <w:lang w:val="en-US" w:eastAsia="zh-CN"/>
          <w14:textFill>
            <w14:solidFill>
              <w14:schemeClr w14:val="tx1"/>
            </w14:solidFill>
          </w14:textFill>
        </w:rPr>
        <w:t>10年及以上发明专利</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），每件给予不超过5000元奖励，同一主体每年</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奖励</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不超过500万元。</w:t>
      </w:r>
    </w:p>
    <w:p w14:paraId="09288DEA">
      <w:pPr>
        <w:spacing w:line="560" w:lineRule="exact"/>
        <w:ind w:firstLine="603" w:firstLineChars="200"/>
        <w:rPr>
          <w:rFonts w:ascii="Times New Roman" w:hAnsi="Times New Roman" w:eastAsia="仿宋_GB2312"/>
          <w:color w:val="000000" w:themeColor="text1"/>
          <w:spacing w:val="-10"/>
          <w:sz w:val="32"/>
          <w:szCs w:val="32"/>
          <w:shd w:val="clear" w:color="auto" w:fill="FFFFFF"/>
          <w14:textFill>
            <w14:solidFill>
              <w14:schemeClr w14:val="tx1"/>
            </w14:solidFill>
          </w14:textFill>
        </w:rPr>
      </w:pP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7.实施知识产权密集型企业培育</w:t>
      </w:r>
      <w:r>
        <w:rPr>
          <w:rFonts w:hint="eastAsia" w:ascii="Times New Roman" w:hAnsi="Times New Roman" w:eastAsia="楷体_GB2312"/>
          <w:b/>
          <w:bCs/>
          <w:color w:val="000000" w:themeColor="text1"/>
          <w:spacing w:val="-10"/>
          <w:sz w:val="32"/>
          <w:szCs w:val="32"/>
          <w:shd w:val="clear" w:color="auto" w:fill="FFFFFF"/>
          <w14:textFill>
            <w14:solidFill>
              <w14:schemeClr w14:val="tx1"/>
            </w14:solidFill>
          </w14:textFill>
        </w:rPr>
        <w:t>工程</w:t>
      </w: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对首次获得国家专利密集型产品认定的产品，每件给予不超过2万元资金支持，每家企业</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每年度奖励金额</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不超过20万元。</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组织</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开展知识产权密集型产品计划项目，每家企业给予不超过20万元资金支持</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，每年</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支持不超过</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10家</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w:t>
      </w:r>
    </w:p>
    <w:p w14:paraId="08FE7FA9">
      <w:pPr>
        <w:spacing w:line="560" w:lineRule="exact"/>
        <w:ind w:firstLine="603" w:firstLineChars="200"/>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pP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8.推进知识产权入库企业培育。</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对获评苏州市知识产权成长型、优势型、引领型企业的，分别给予10万元、</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20</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万元、</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30</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万元的奖励，该政策按</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就高原则不重复奖励</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对通过《创新管理—知识产权管理指南（ISO56005）》国际标准的给予5万元的奖励。对首次通过《企业知识产权管理规范》（GB/T29490—2023）的单位奖励2万元，对首次通过复核的单位奖励3万元，对首次通过省绩效评价的单位奖励</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2</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万元。</w:t>
      </w:r>
    </w:p>
    <w:p w14:paraId="78E44B56">
      <w:pPr>
        <w:spacing w:line="560" w:lineRule="exact"/>
        <w:ind w:firstLine="600" w:firstLineChars="200"/>
        <w:rPr>
          <w:rFonts w:ascii="Times New Roman" w:hAnsi="Times New Roman" w:eastAsia="黑体"/>
          <w:spacing w:val="-10"/>
          <w:sz w:val="32"/>
          <w:szCs w:val="32"/>
        </w:rPr>
      </w:pPr>
      <w:r>
        <w:rPr>
          <w:rFonts w:ascii="Times New Roman" w:hAnsi="Times New Roman" w:eastAsia="黑体"/>
          <w:spacing w:val="-10"/>
          <w:sz w:val="32"/>
          <w:szCs w:val="32"/>
        </w:rPr>
        <w:t>三、强化知识产权保护</w:t>
      </w:r>
    </w:p>
    <w:p w14:paraId="1D064D1B">
      <w:pPr>
        <w:spacing w:line="560" w:lineRule="exact"/>
        <w:ind w:firstLine="603" w:firstLineChars="200"/>
        <w:rPr>
          <w:rFonts w:ascii="Times New Roman" w:hAnsi="Times New Roman" w:eastAsia="仿宋_GB2312"/>
          <w:color w:val="000000"/>
          <w:spacing w:val="-10"/>
          <w:sz w:val="32"/>
          <w:szCs w:val="32"/>
          <w:shd w:val="clear" w:color="auto" w:fill="FFFFFF"/>
        </w:rPr>
      </w:pPr>
      <w:r>
        <w:rPr>
          <w:rFonts w:hint="eastAsia" w:ascii="Times New Roman" w:hAnsi="Times New Roman" w:eastAsia="楷体_GB2312"/>
          <w:b/>
          <w:bCs/>
          <w:color w:val="000000" w:themeColor="text1"/>
          <w:spacing w:val="-10"/>
          <w:sz w:val="32"/>
          <w:szCs w:val="32"/>
          <w:shd w:val="clear" w:color="auto" w:fill="FFFFFF"/>
          <w14:textFill>
            <w14:solidFill>
              <w14:schemeClr w14:val="tx1"/>
            </w14:solidFill>
          </w14:textFill>
        </w:rPr>
        <w:t>9</w:t>
      </w: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.加大知识产权维权力度。</w:t>
      </w:r>
      <w:r>
        <w:rPr>
          <w:rFonts w:ascii="Times New Roman" w:hAnsi="Times New Roman" w:eastAsia="仿宋_GB2312"/>
          <w:color w:val="000000"/>
          <w:spacing w:val="-10"/>
          <w:sz w:val="32"/>
          <w:szCs w:val="32"/>
          <w:shd w:val="clear" w:color="auto" w:fill="FFFFFF"/>
        </w:rPr>
        <w:t>企业通过行政或司法途径开展知识产权维权，获得胜诉或</w:t>
      </w:r>
      <w:r>
        <w:rPr>
          <w:rFonts w:hint="eastAsia" w:ascii="Times New Roman" w:hAnsi="Times New Roman" w:eastAsia="仿宋_GB2312"/>
          <w:color w:val="000000"/>
          <w:spacing w:val="-10"/>
          <w:sz w:val="32"/>
          <w:szCs w:val="32"/>
          <w:shd w:val="clear" w:color="auto" w:fill="FFFFFF"/>
        </w:rPr>
        <w:t>实际</w:t>
      </w:r>
      <w:r>
        <w:rPr>
          <w:rFonts w:ascii="Times New Roman" w:hAnsi="Times New Roman" w:eastAsia="仿宋_GB2312"/>
          <w:color w:val="000000"/>
          <w:spacing w:val="-10"/>
          <w:sz w:val="32"/>
          <w:szCs w:val="32"/>
          <w:shd w:val="clear" w:color="auto" w:fill="FFFFFF"/>
        </w:rPr>
        <w:t>获益的，按照纠纷中实际支付</w:t>
      </w:r>
      <w:r>
        <w:rPr>
          <w:rFonts w:hint="eastAsia" w:ascii="Times New Roman" w:hAnsi="Times New Roman" w:eastAsia="仿宋_GB2312"/>
          <w:color w:val="000000"/>
          <w:spacing w:val="-10"/>
          <w:sz w:val="32"/>
          <w:szCs w:val="32"/>
          <w:shd w:val="clear" w:color="auto" w:fill="FFFFFF"/>
        </w:rPr>
        <w:t>的</w:t>
      </w:r>
      <w:r>
        <w:rPr>
          <w:rFonts w:ascii="Times New Roman" w:hAnsi="Times New Roman" w:eastAsia="仿宋_GB2312"/>
          <w:color w:val="000000"/>
          <w:spacing w:val="-10"/>
          <w:sz w:val="32"/>
          <w:szCs w:val="32"/>
        </w:rPr>
        <w:t>法律费用</w:t>
      </w:r>
      <w:r>
        <w:rPr>
          <w:rFonts w:hint="eastAsia" w:ascii="Times New Roman" w:hAnsi="Times New Roman" w:eastAsia="仿宋_GB2312"/>
          <w:color w:val="000000"/>
          <w:spacing w:val="-10"/>
          <w:sz w:val="32"/>
          <w:szCs w:val="32"/>
        </w:rPr>
        <w:t>和官方费用（含诉讼费、公证费、查档费、无效请求费）</w:t>
      </w:r>
      <w:r>
        <w:rPr>
          <w:rFonts w:hint="eastAsia" w:ascii="Times New Roman" w:hAnsi="Times New Roman" w:eastAsia="仿宋_GB2312"/>
          <w:color w:val="000000"/>
          <w:spacing w:val="-10"/>
          <w:sz w:val="32"/>
          <w:szCs w:val="32"/>
          <w:shd w:val="clear" w:color="auto" w:fill="FFFFFF"/>
        </w:rPr>
        <w:t>，</w:t>
      </w:r>
      <w:r>
        <w:rPr>
          <w:rFonts w:ascii="Times New Roman" w:hAnsi="Times New Roman" w:eastAsia="仿宋_GB2312"/>
          <w:color w:val="000000"/>
          <w:spacing w:val="-10"/>
          <w:sz w:val="32"/>
          <w:szCs w:val="32"/>
          <w:shd w:val="clear" w:color="auto" w:fill="FFFFFF"/>
        </w:rPr>
        <w:t>给予最高不超过50%的补贴</w:t>
      </w:r>
      <w:r>
        <w:rPr>
          <w:rFonts w:hint="eastAsia" w:ascii="Times New Roman" w:hAnsi="Times New Roman" w:eastAsia="仿宋_GB2312"/>
          <w:color w:val="000000"/>
          <w:spacing w:val="-10"/>
          <w:sz w:val="32"/>
          <w:szCs w:val="32"/>
          <w:shd w:val="clear" w:color="auto" w:fill="FFFFFF"/>
        </w:rPr>
        <w:t>，每件案件</w:t>
      </w:r>
      <w:r>
        <w:rPr>
          <w:rFonts w:ascii="Times New Roman" w:hAnsi="Times New Roman" w:eastAsia="仿宋_GB2312"/>
          <w:color w:val="000000"/>
          <w:spacing w:val="-10"/>
          <w:sz w:val="32"/>
          <w:szCs w:val="32"/>
          <w:shd w:val="clear" w:color="auto" w:fill="FFFFFF"/>
        </w:rPr>
        <w:t>最高补贴30万元</w:t>
      </w:r>
      <w:r>
        <w:rPr>
          <w:rFonts w:hint="eastAsia" w:ascii="Times New Roman" w:hAnsi="Times New Roman" w:eastAsia="仿宋_GB2312"/>
          <w:color w:val="000000"/>
          <w:spacing w:val="-10"/>
          <w:sz w:val="32"/>
          <w:szCs w:val="32"/>
          <w:shd w:val="clear" w:color="auto" w:fill="FFFFFF"/>
          <w:lang w:eastAsia="zh-CN"/>
        </w:rPr>
        <w:t>。</w:t>
      </w:r>
      <w:r>
        <w:rPr>
          <w:rFonts w:hint="eastAsia" w:ascii="Times New Roman" w:hAnsi="Times New Roman" w:eastAsia="仿宋_GB2312"/>
          <w:color w:val="000000"/>
          <w:spacing w:val="-10"/>
          <w:sz w:val="32"/>
          <w:szCs w:val="32"/>
          <w:shd w:val="clear" w:color="auto" w:fill="FFFFFF"/>
        </w:rPr>
        <w:t>企业</w:t>
      </w:r>
      <w:r>
        <w:rPr>
          <w:rFonts w:ascii="Times New Roman" w:hAnsi="Times New Roman" w:eastAsia="仿宋_GB2312"/>
          <w:color w:val="000000"/>
          <w:spacing w:val="-10"/>
          <w:sz w:val="32"/>
          <w:szCs w:val="32"/>
          <w:shd w:val="clear" w:color="auto" w:fill="FFFFFF"/>
        </w:rPr>
        <w:t>开展海外知识产权维权</w:t>
      </w:r>
      <w:r>
        <w:rPr>
          <w:rFonts w:hint="eastAsia" w:ascii="Times New Roman" w:hAnsi="Times New Roman" w:eastAsia="仿宋_GB2312"/>
          <w:color w:val="000000"/>
          <w:spacing w:val="-10"/>
          <w:sz w:val="32"/>
          <w:szCs w:val="32"/>
          <w:shd w:val="clear" w:color="auto" w:fill="FFFFFF"/>
        </w:rPr>
        <w:t>，</w:t>
      </w:r>
      <w:r>
        <w:rPr>
          <w:rFonts w:ascii="Times New Roman" w:hAnsi="Times New Roman" w:eastAsia="仿宋_GB2312"/>
          <w:color w:val="000000"/>
          <w:spacing w:val="-10"/>
          <w:sz w:val="32"/>
          <w:szCs w:val="32"/>
          <w:shd w:val="clear" w:color="auto" w:fill="FFFFFF"/>
        </w:rPr>
        <w:t>获得胜诉或实际获益的，对于维权过程中实际支付的</w:t>
      </w:r>
      <w:r>
        <w:rPr>
          <w:rFonts w:ascii="Times New Roman" w:hAnsi="Times New Roman" w:eastAsia="仿宋_GB2312"/>
          <w:color w:val="000000"/>
          <w:spacing w:val="-10"/>
          <w:sz w:val="32"/>
          <w:szCs w:val="32"/>
        </w:rPr>
        <w:t>法律费用</w:t>
      </w:r>
      <w:r>
        <w:rPr>
          <w:rFonts w:hint="eastAsia" w:ascii="Times New Roman" w:hAnsi="Times New Roman" w:eastAsia="仿宋_GB2312"/>
          <w:color w:val="000000"/>
          <w:spacing w:val="-10"/>
          <w:sz w:val="32"/>
          <w:szCs w:val="32"/>
        </w:rPr>
        <w:t>和官方费用（含诉讼费、公证费、查档费、无效请求费）给</w:t>
      </w:r>
      <w:r>
        <w:rPr>
          <w:rFonts w:ascii="Times New Roman" w:hAnsi="Times New Roman" w:eastAsia="仿宋_GB2312"/>
          <w:color w:val="000000"/>
          <w:spacing w:val="-10"/>
          <w:sz w:val="32"/>
          <w:szCs w:val="32"/>
          <w:shd w:val="clear" w:color="auto" w:fill="FFFFFF"/>
        </w:rPr>
        <w:t>予</w:t>
      </w:r>
      <w:r>
        <w:rPr>
          <w:rFonts w:hint="eastAsia" w:ascii="Times New Roman" w:hAnsi="Times New Roman" w:eastAsia="仿宋_GB2312"/>
          <w:color w:val="000000"/>
          <w:spacing w:val="-10"/>
          <w:sz w:val="32"/>
          <w:szCs w:val="32"/>
          <w:shd w:val="clear" w:color="auto" w:fill="FFFFFF"/>
        </w:rPr>
        <w:t>最高不超过</w:t>
      </w:r>
      <w:r>
        <w:rPr>
          <w:rFonts w:ascii="Times New Roman" w:hAnsi="Times New Roman" w:eastAsia="仿宋_GB2312"/>
          <w:color w:val="000000"/>
          <w:spacing w:val="-10"/>
          <w:sz w:val="32"/>
          <w:szCs w:val="32"/>
          <w:shd w:val="clear" w:color="auto" w:fill="FFFFFF"/>
        </w:rPr>
        <w:t>50%的</w:t>
      </w:r>
      <w:r>
        <w:rPr>
          <w:rFonts w:hint="eastAsia" w:ascii="Times New Roman" w:hAnsi="Times New Roman" w:eastAsia="仿宋_GB2312"/>
          <w:color w:val="000000"/>
          <w:spacing w:val="-10"/>
          <w:sz w:val="32"/>
          <w:szCs w:val="32"/>
          <w:shd w:val="clear" w:color="auto" w:fill="FFFFFF"/>
        </w:rPr>
        <w:t>补贴</w:t>
      </w:r>
      <w:r>
        <w:rPr>
          <w:rFonts w:ascii="Times New Roman" w:hAnsi="Times New Roman" w:eastAsia="仿宋_GB2312"/>
          <w:color w:val="000000"/>
          <w:spacing w:val="-10"/>
          <w:sz w:val="32"/>
          <w:szCs w:val="32"/>
          <w:shd w:val="clear" w:color="auto" w:fill="FFFFFF"/>
        </w:rPr>
        <w:t>，每件案件</w:t>
      </w:r>
      <w:r>
        <w:rPr>
          <w:rFonts w:hint="eastAsia" w:ascii="Times New Roman" w:hAnsi="Times New Roman" w:eastAsia="仿宋_GB2312"/>
          <w:color w:val="000000"/>
          <w:spacing w:val="-10"/>
          <w:sz w:val="32"/>
          <w:szCs w:val="32"/>
          <w:shd w:val="clear" w:color="auto" w:fill="FFFFFF"/>
        </w:rPr>
        <w:t>补贴</w:t>
      </w:r>
      <w:r>
        <w:rPr>
          <w:rFonts w:ascii="Times New Roman" w:hAnsi="Times New Roman" w:eastAsia="仿宋_GB2312"/>
          <w:color w:val="000000"/>
          <w:spacing w:val="-10"/>
          <w:sz w:val="32"/>
          <w:szCs w:val="32"/>
          <w:shd w:val="clear" w:color="auto" w:fill="FFFFFF"/>
        </w:rPr>
        <w:t>不超过</w:t>
      </w:r>
      <w:r>
        <w:rPr>
          <w:rFonts w:hint="eastAsia" w:ascii="Times New Roman" w:hAnsi="Times New Roman" w:eastAsia="仿宋_GB2312"/>
          <w:color w:val="000000"/>
          <w:spacing w:val="-10"/>
          <w:sz w:val="32"/>
          <w:szCs w:val="32"/>
          <w:shd w:val="clear" w:color="auto" w:fill="FFFFFF"/>
        </w:rPr>
        <w:t>50</w:t>
      </w:r>
      <w:r>
        <w:rPr>
          <w:rFonts w:ascii="Times New Roman" w:hAnsi="Times New Roman" w:eastAsia="仿宋_GB2312"/>
          <w:color w:val="000000"/>
          <w:spacing w:val="-10"/>
          <w:sz w:val="32"/>
          <w:szCs w:val="32"/>
          <w:shd w:val="clear" w:color="auto" w:fill="FFFFFF"/>
        </w:rPr>
        <w:t>万元</w:t>
      </w:r>
      <w:r>
        <w:rPr>
          <w:rFonts w:hint="eastAsia" w:ascii="Times New Roman" w:hAnsi="Times New Roman" w:eastAsia="仿宋_GB2312"/>
          <w:color w:val="000000"/>
          <w:spacing w:val="-10"/>
          <w:sz w:val="32"/>
          <w:szCs w:val="32"/>
          <w:shd w:val="clear" w:color="auto" w:fill="FFFFFF"/>
        </w:rPr>
        <w:t>。</w:t>
      </w:r>
      <w:r>
        <w:rPr>
          <w:rFonts w:ascii="Times New Roman" w:hAnsi="Times New Roman" w:eastAsia="仿宋_GB2312"/>
          <w:color w:val="000000"/>
          <w:spacing w:val="-10"/>
          <w:sz w:val="32"/>
          <w:szCs w:val="32"/>
          <w:shd w:val="clear" w:color="auto" w:fill="FFFFFF"/>
        </w:rPr>
        <w:t>每家</w:t>
      </w:r>
      <w:r>
        <w:rPr>
          <w:rFonts w:hint="eastAsia" w:ascii="Times New Roman" w:hAnsi="Times New Roman" w:eastAsia="仿宋_GB2312"/>
          <w:color w:val="000000"/>
          <w:spacing w:val="-10"/>
          <w:sz w:val="32"/>
          <w:szCs w:val="32"/>
          <w:shd w:val="clear" w:color="auto" w:fill="FFFFFF"/>
        </w:rPr>
        <w:t>企业累计补贴</w:t>
      </w:r>
      <w:r>
        <w:rPr>
          <w:rFonts w:ascii="Times New Roman" w:hAnsi="Times New Roman" w:eastAsia="仿宋_GB2312"/>
          <w:color w:val="000000"/>
          <w:spacing w:val="-10"/>
          <w:sz w:val="32"/>
          <w:szCs w:val="32"/>
          <w:shd w:val="clear" w:color="auto" w:fill="FFFFFF"/>
        </w:rPr>
        <w:t>不超过</w:t>
      </w:r>
      <w:r>
        <w:rPr>
          <w:rFonts w:hint="eastAsia" w:ascii="Times New Roman" w:hAnsi="Times New Roman" w:eastAsia="仿宋_GB2312"/>
          <w:color w:val="000000"/>
          <w:spacing w:val="-10"/>
          <w:sz w:val="32"/>
          <w:szCs w:val="32"/>
          <w:shd w:val="clear" w:color="auto" w:fill="FFFFFF"/>
        </w:rPr>
        <w:t>200</w:t>
      </w:r>
      <w:r>
        <w:rPr>
          <w:rFonts w:ascii="Times New Roman" w:hAnsi="Times New Roman" w:eastAsia="仿宋_GB2312"/>
          <w:color w:val="000000"/>
          <w:spacing w:val="-10"/>
          <w:sz w:val="32"/>
          <w:szCs w:val="32"/>
          <w:shd w:val="clear" w:color="auto" w:fill="FFFFFF"/>
        </w:rPr>
        <w:t>万元。</w:t>
      </w:r>
    </w:p>
    <w:p w14:paraId="1319079F">
      <w:pPr>
        <w:spacing w:line="560" w:lineRule="exact"/>
        <w:ind w:firstLine="603" w:firstLineChars="200"/>
        <w:rPr>
          <w:rFonts w:ascii="Times New Roman" w:hAnsi="Times New Roman" w:eastAsia="仿宋_GB2312"/>
          <w:color w:val="000000"/>
          <w:spacing w:val="-10"/>
          <w:sz w:val="32"/>
          <w:szCs w:val="32"/>
          <w:shd w:val="clear" w:color="auto" w:fill="FFFFFF"/>
        </w:rPr>
      </w:pP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1</w:t>
      </w:r>
      <w:r>
        <w:rPr>
          <w:rFonts w:hint="eastAsia" w:ascii="Times New Roman" w:hAnsi="Times New Roman" w:eastAsia="楷体_GB2312"/>
          <w:b/>
          <w:bCs/>
          <w:color w:val="000000" w:themeColor="text1"/>
          <w:spacing w:val="-10"/>
          <w:sz w:val="32"/>
          <w:szCs w:val="32"/>
          <w:shd w:val="clear" w:color="auto" w:fill="FFFFFF"/>
          <w14:textFill>
            <w14:solidFill>
              <w14:schemeClr w14:val="tx1"/>
            </w14:solidFill>
          </w14:textFill>
        </w:rPr>
        <w:t>0</w:t>
      </w: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w:t>
      </w:r>
      <w:r>
        <w:rPr>
          <w:rFonts w:hint="eastAsia" w:ascii="Times New Roman" w:hAnsi="Times New Roman" w:eastAsia="楷体_GB2312"/>
          <w:b/>
          <w:bCs/>
          <w:color w:val="000000" w:themeColor="text1"/>
          <w:spacing w:val="-10"/>
          <w:sz w:val="32"/>
          <w:szCs w:val="32"/>
          <w:shd w:val="clear" w:color="auto" w:fill="FFFFFF"/>
          <w14:textFill>
            <w14:solidFill>
              <w14:schemeClr w14:val="tx1"/>
            </w14:solidFill>
          </w14:textFill>
        </w:rPr>
        <w:t>加大知识产权保险支持力度</w:t>
      </w: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w:t>
      </w:r>
      <w:r>
        <w:rPr>
          <w:rFonts w:ascii="Times New Roman" w:hAnsi="Times New Roman" w:eastAsia="仿宋_GB2312"/>
          <w:color w:val="000000"/>
          <w:spacing w:val="-10"/>
          <w:sz w:val="32"/>
          <w:szCs w:val="32"/>
          <w:shd w:val="clear" w:color="auto" w:fill="FFFFFF"/>
        </w:rPr>
        <w:t>企业购买知识产权保险产品的，按实际支出保费给予</w:t>
      </w:r>
      <w:r>
        <w:rPr>
          <w:rFonts w:hint="eastAsia" w:ascii="Times New Roman" w:hAnsi="Times New Roman" w:eastAsia="仿宋_GB2312"/>
          <w:color w:val="000000"/>
          <w:spacing w:val="-10"/>
          <w:sz w:val="32"/>
          <w:szCs w:val="32"/>
          <w:shd w:val="clear" w:color="auto" w:fill="FFFFFF"/>
        </w:rPr>
        <w:t>不超过</w:t>
      </w:r>
      <w:r>
        <w:rPr>
          <w:rFonts w:ascii="Times New Roman" w:hAnsi="Times New Roman" w:eastAsia="仿宋_GB2312"/>
          <w:color w:val="000000"/>
          <w:spacing w:val="-10"/>
          <w:sz w:val="32"/>
          <w:szCs w:val="32"/>
          <w:shd w:val="clear" w:color="auto" w:fill="FFFFFF"/>
        </w:rPr>
        <w:t>50%</w:t>
      </w:r>
      <w:r>
        <w:rPr>
          <w:rFonts w:hint="eastAsia" w:ascii="Times New Roman" w:hAnsi="Times New Roman" w:eastAsia="仿宋_GB2312"/>
          <w:color w:val="000000"/>
          <w:spacing w:val="-10"/>
          <w:sz w:val="32"/>
          <w:szCs w:val="32"/>
          <w:shd w:val="clear" w:color="auto" w:fill="FFFFFF"/>
        </w:rPr>
        <w:t>的</w:t>
      </w:r>
      <w:r>
        <w:rPr>
          <w:rFonts w:ascii="Times New Roman" w:hAnsi="Times New Roman" w:eastAsia="仿宋_GB2312"/>
          <w:color w:val="000000"/>
          <w:spacing w:val="-10"/>
          <w:sz w:val="32"/>
          <w:szCs w:val="32"/>
          <w:shd w:val="clear" w:color="auto" w:fill="FFFFFF"/>
        </w:rPr>
        <w:t>补贴，</w:t>
      </w:r>
      <w:r>
        <w:rPr>
          <w:rFonts w:hint="eastAsia" w:ascii="Times New Roman" w:hAnsi="Times New Roman" w:eastAsia="仿宋_GB2312"/>
          <w:color w:val="000000"/>
          <w:spacing w:val="-10"/>
          <w:sz w:val="32"/>
          <w:szCs w:val="32"/>
          <w:shd w:val="clear" w:color="auto" w:fill="FFFFFF"/>
        </w:rPr>
        <w:t>每家企业</w:t>
      </w:r>
      <w:r>
        <w:rPr>
          <w:rFonts w:ascii="Times New Roman" w:hAnsi="Times New Roman" w:eastAsia="仿宋_GB2312"/>
          <w:color w:val="000000"/>
          <w:spacing w:val="-10"/>
          <w:sz w:val="32"/>
          <w:szCs w:val="32"/>
          <w:shd w:val="clear" w:color="auto" w:fill="FFFFFF"/>
        </w:rPr>
        <w:t>每年最</w:t>
      </w:r>
      <w:r>
        <w:rPr>
          <w:rFonts w:hint="eastAsia" w:ascii="Times New Roman" w:hAnsi="Times New Roman" w:eastAsia="仿宋_GB2312"/>
          <w:color w:val="000000"/>
          <w:spacing w:val="-10"/>
          <w:sz w:val="32"/>
          <w:szCs w:val="32"/>
          <w:shd w:val="clear" w:color="auto" w:fill="FFFFFF"/>
        </w:rPr>
        <w:t>高</w:t>
      </w:r>
      <w:r>
        <w:rPr>
          <w:rFonts w:ascii="Times New Roman" w:hAnsi="Times New Roman" w:eastAsia="仿宋_GB2312"/>
          <w:color w:val="000000"/>
          <w:spacing w:val="-10"/>
          <w:sz w:val="32"/>
          <w:szCs w:val="32"/>
          <w:shd w:val="clear" w:color="auto" w:fill="FFFFFF"/>
        </w:rPr>
        <w:t>补贴</w:t>
      </w:r>
      <w:r>
        <w:rPr>
          <w:rFonts w:hint="eastAsia" w:ascii="Times New Roman" w:hAnsi="Times New Roman" w:eastAsia="仿宋_GB2312"/>
          <w:color w:val="000000"/>
          <w:spacing w:val="-10"/>
          <w:sz w:val="32"/>
          <w:szCs w:val="32"/>
          <w:shd w:val="clear" w:color="auto" w:fill="FFFFFF"/>
        </w:rPr>
        <w:t>10</w:t>
      </w:r>
      <w:r>
        <w:rPr>
          <w:rFonts w:ascii="Times New Roman" w:hAnsi="Times New Roman" w:eastAsia="仿宋_GB2312"/>
          <w:color w:val="000000"/>
          <w:spacing w:val="-10"/>
          <w:sz w:val="32"/>
          <w:szCs w:val="32"/>
          <w:shd w:val="clear" w:color="auto" w:fill="FFFFFF"/>
        </w:rPr>
        <w:t>万元。</w:t>
      </w:r>
    </w:p>
    <w:p w14:paraId="06C398FC">
      <w:pPr>
        <w:spacing w:line="560" w:lineRule="exact"/>
        <w:ind w:firstLine="600" w:firstLineChars="200"/>
        <w:rPr>
          <w:rFonts w:ascii="Times New Roman" w:hAnsi="Times New Roman" w:eastAsia="黑体"/>
          <w:spacing w:val="-10"/>
          <w:sz w:val="32"/>
          <w:szCs w:val="32"/>
        </w:rPr>
      </w:pPr>
      <w:r>
        <w:rPr>
          <w:rFonts w:ascii="Times New Roman" w:hAnsi="Times New Roman" w:eastAsia="黑体"/>
          <w:spacing w:val="-10"/>
          <w:sz w:val="32"/>
          <w:szCs w:val="32"/>
        </w:rPr>
        <w:t>四、促进知识产权服务强链</w:t>
      </w:r>
    </w:p>
    <w:p w14:paraId="5AD1275D">
      <w:pPr>
        <w:spacing w:line="560" w:lineRule="exact"/>
        <w:ind w:firstLine="603" w:firstLineChars="200"/>
        <w:rPr>
          <w:rFonts w:ascii="Times New Roman" w:hAnsi="Times New Roman" w:eastAsia="仿宋_GB2312"/>
          <w:color w:val="000000" w:themeColor="text1"/>
          <w:spacing w:val="-10"/>
          <w:sz w:val="32"/>
          <w:szCs w:val="32"/>
          <w:shd w:val="clear" w:color="auto" w:fill="FFFFFF"/>
          <w14:textFill>
            <w14:solidFill>
              <w14:schemeClr w14:val="tx1"/>
            </w14:solidFill>
          </w14:textFill>
        </w:rPr>
      </w:pP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1</w:t>
      </w:r>
      <w:r>
        <w:rPr>
          <w:rFonts w:hint="eastAsia" w:ascii="Times New Roman" w:hAnsi="Times New Roman" w:eastAsia="楷体_GB2312"/>
          <w:b/>
          <w:bCs/>
          <w:color w:val="000000" w:themeColor="text1"/>
          <w:spacing w:val="-10"/>
          <w:sz w:val="32"/>
          <w:szCs w:val="32"/>
          <w:shd w:val="clear" w:color="auto" w:fill="FFFFFF"/>
          <w14:textFill>
            <w14:solidFill>
              <w14:schemeClr w14:val="tx1"/>
            </w14:solidFill>
          </w14:textFill>
        </w:rPr>
        <w:t>1</w:t>
      </w: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.加快公共服务体系建设。</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对获批的国家知识产权示范园区、试点园区，分别奖励30万元、20万元。对获批的省知识产权示范园区、试点园区，分别奖励20万元、10万元。对获评的国家、省、市知识产权教育示范学校（试点学校）</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的</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，分别奖励20万元、10万元、5万元。</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对于新获批建设的技术与创新支持中心（TISC），每家给予不超过50万元的资金扶持。</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对获批国家级、省级知识产权信息公共服务网点并正常提供公共服务的知识产权服务机构，分别给予不超过30万元、20万元资金扶持。</w:t>
      </w:r>
      <w:r>
        <w:rPr>
          <w:rFonts w:ascii="Times New Roman" w:hAnsi="Times New Roman" w:eastAsia="仿宋_GB2312"/>
          <w:color w:val="000000" w:themeColor="text1"/>
          <w:spacing w:val="-10"/>
          <w:sz w:val="32"/>
          <w:szCs w:val="32"/>
          <w14:textFill>
            <w14:solidFill>
              <w14:schemeClr w14:val="tx1"/>
            </w14:solidFill>
          </w14:textFill>
        </w:rPr>
        <w:t>对于新建成</w:t>
      </w:r>
      <w:r>
        <w:rPr>
          <w:rFonts w:hint="eastAsia" w:ascii="Times New Roman" w:hAnsi="Times New Roman" w:eastAsia="仿宋_GB2312"/>
          <w:color w:val="000000" w:themeColor="text1"/>
          <w:spacing w:val="-10"/>
          <w:sz w:val="32"/>
          <w:szCs w:val="32"/>
          <w14:textFill>
            <w14:solidFill>
              <w14:schemeClr w14:val="tx1"/>
            </w14:solidFill>
          </w14:textFill>
        </w:rPr>
        <w:t>的</w:t>
      </w:r>
      <w:r>
        <w:rPr>
          <w:rFonts w:ascii="Times New Roman" w:hAnsi="Times New Roman" w:eastAsia="仿宋_GB2312"/>
          <w:color w:val="000000" w:themeColor="text1"/>
          <w:spacing w:val="-10"/>
          <w:sz w:val="32"/>
          <w:szCs w:val="32"/>
          <w14:textFill>
            <w14:solidFill>
              <w14:schemeClr w14:val="tx1"/>
            </w14:solidFill>
          </w14:textFill>
        </w:rPr>
        <w:t>知识产权工作站</w:t>
      </w:r>
      <w:r>
        <w:rPr>
          <w:rFonts w:hint="eastAsia" w:ascii="Times New Roman" w:hAnsi="Times New Roman" w:eastAsia="仿宋_GB2312"/>
          <w:color w:val="000000" w:themeColor="text1"/>
          <w:spacing w:val="-10"/>
          <w:sz w:val="32"/>
          <w:szCs w:val="32"/>
          <w14:textFill>
            <w14:solidFill>
              <w14:schemeClr w14:val="tx1"/>
            </w14:solidFill>
          </w14:textFill>
        </w:rPr>
        <w:t>，根据实际运营成效</w:t>
      </w:r>
      <w:r>
        <w:rPr>
          <w:rFonts w:ascii="Times New Roman" w:hAnsi="Times New Roman" w:eastAsia="仿宋_GB2312"/>
          <w:color w:val="000000" w:themeColor="text1"/>
          <w:spacing w:val="-10"/>
          <w:sz w:val="32"/>
          <w:szCs w:val="32"/>
          <w14:textFill>
            <w14:solidFill>
              <w14:schemeClr w14:val="tx1"/>
            </w14:solidFill>
          </w14:textFill>
        </w:rPr>
        <w:t>给予</w:t>
      </w:r>
      <w:r>
        <w:rPr>
          <w:rFonts w:hint="eastAsia" w:ascii="Times New Roman" w:hAnsi="Times New Roman" w:eastAsia="仿宋_GB2312"/>
          <w:color w:val="000000" w:themeColor="text1"/>
          <w:spacing w:val="-10"/>
          <w:sz w:val="32"/>
          <w:szCs w:val="32"/>
          <w14:textFill>
            <w14:solidFill>
              <w14:schemeClr w14:val="tx1"/>
            </w14:solidFill>
          </w14:textFill>
        </w:rPr>
        <w:t>每家</w:t>
      </w:r>
      <w:r>
        <w:rPr>
          <w:rFonts w:ascii="Times New Roman" w:hAnsi="Times New Roman" w:eastAsia="仿宋_GB2312"/>
          <w:color w:val="000000" w:themeColor="text1"/>
          <w:spacing w:val="-10"/>
          <w:sz w:val="32"/>
          <w:szCs w:val="32"/>
          <w14:textFill>
            <w14:solidFill>
              <w14:schemeClr w14:val="tx1"/>
            </w14:solidFill>
          </w14:textFill>
        </w:rPr>
        <w:t>最高</w:t>
      </w:r>
      <w:r>
        <w:rPr>
          <w:rFonts w:hint="eastAsia" w:ascii="Times New Roman" w:hAnsi="Times New Roman" w:eastAsia="仿宋_GB2312"/>
          <w:color w:val="000000" w:themeColor="text1"/>
          <w:spacing w:val="-10"/>
          <w:sz w:val="32"/>
          <w:szCs w:val="32"/>
          <w14:textFill>
            <w14:solidFill>
              <w14:schemeClr w14:val="tx1"/>
            </w14:solidFill>
          </w14:textFill>
        </w:rPr>
        <w:t>不超过</w:t>
      </w:r>
      <w:r>
        <w:rPr>
          <w:rFonts w:ascii="Times New Roman" w:hAnsi="Times New Roman" w:eastAsia="仿宋_GB2312"/>
          <w:color w:val="000000" w:themeColor="text1"/>
          <w:spacing w:val="-10"/>
          <w:sz w:val="32"/>
          <w:szCs w:val="32"/>
          <w14:textFill>
            <w14:solidFill>
              <w14:schemeClr w14:val="tx1"/>
            </w14:solidFill>
          </w14:textFill>
        </w:rPr>
        <w:t>10万元</w:t>
      </w:r>
      <w:r>
        <w:rPr>
          <w:rFonts w:hint="eastAsia" w:ascii="Times New Roman" w:hAnsi="Times New Roman" w:eastAsia="仿宋_GB2312"/>
          <w:color w:val="000000" w:themeColor="text1"/>
          <w:spacing w:val="-10"/>
          <w:sz w:val="32"/>
          <w:szCs w:val="32"/>
          <w14:textFill>
            <w14:solidFill>
              <w14:schemeClr w14:val="tx1"/>
            </w14:solidFill>
          </w14:textFill>
        </w:rPr>
        <w:t>的</w:t>
      </w:r>
      <w:r>
        <w:rPr>
          <w:rFonts w:ascii="Times New Roman" w:hAnsi="Times New Roman" w:eastAsia="仿宋_GB2312"/>
          <w:color w:val="000000" w:themeColor="text1"/>
          <w:spacing w:val="-10"/>
          <w:sz w:val="32"/>
          <w:szCs w:val="32"/>
          <w14:textFill>
            <w14:solidFill>
              <w14:schemeClr w14:val="tx1"/>
            </w14:solidFill>
          </w14:textFill>
        </w:rPr>
        <w:t>补贴。</w:t>
      </w:r>
    </w:p>
    <w:p w14:paraId="659B1673">
      <w:pPr>
        <w:spacing w:line="560" w:lineRule="exact"/>
        <w:ind w:firstLine="603" w:firstLineChars="200"/>
        <w:rPr>
          <w:rFonts w:hint="eastAsia" w:ascii="Times New Roman" w:hAnsi="Times New Roman" w:eastAsia="仿宋_GB2312"/>
          <w:b w:val="0"/>
          <w:bCs w:val="0"/>
          <w:color w:val="000000" w:themeColor="text1"/>
          <w:spacing w:val="-10"/>
          <w:sz w:val="32"/>
          <w:szCs w:val="32"/>
          <w:shd w:val="clear" w:color="auto" w:fill="FFFFFF"/>
          <w:lang w:val="en-US" w:eastAsia="zh-CN"/>
          <w14:textFill>
            <w14:solidFill>
              <w14:schemeClr w14:val="tx1"/>
            </w14:solidFill>
          </w14:textFill>
        </w:rPr>
      </w:pP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1</w:t>
      </w:r>
      <w:r>
        <w:rPr>
          <w:rFonts w:hint="eastAsia" w:ascii="Times New Roman" w:hAnsi="Times New Roman" w:eastAsia="楷体_GB2312"/>
          <w:b/>
          <w:bCs/>
          <w:color w:val="000000" w:themeColor="text1"/>
          <w:spacing w:val="-10"/>
          <w:sz w:val="32"/>
          <w:szCs w:val="32"/>
          <w:shd w:val="clear" w:color="auto" w:fill="FFFFFF"/>
          <w14:textFill>
            <w14:solidFill>
              <w14:schemeClr w14:val="tx1"/>
            </w14:solidFill>
          </w14:textFill>
        </w:rPr>
        <w:t>2</w:t>
      </w: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.大力引进知识产权服务机构。</w:t>
      </w:r>
      <w:r>
        <w:rPr>
          <w:rFonts w:hint="default" w:ascii="Times New Roman" w:hAnsi="Times New Roman" w:eastAsia="仿宋_GB2312"/>
          <w:b w:val="0"/>
          <w:bCs w:val="0"/>
          <w:color w:val="000000" w:themeColor="text1"/>
          <w:spacing w:val="-10"/>
          <w:sz w:val="32"/>
          <w:szCs w:val="32"/>
          <w:shd w:val="clear" w:color="auto" w:fill="FFFFFF"/>
          <w14:textFill>
            <w14:solidFill>
              <w14:schemeClr w14:val="tx1"/>
            </w14:solidFill>
          </w14:textFill>
        </w:rPr>
        <w:t>大力支持知识产权服务业发展</w:t>
      </w:r>
      <w:r>
        <w:rPr>
          <w:rFonts w:hint="default" w:ascii="Times New Roman" w:hAnsi="Times New Roman" w:eastAsia="仿宋_GB2312"/>
          <w:b w:val="0"/>
          <w:bCs w:val="0"/>
          <w:color w:val="000000" w:themeColor="text1"/>
          <w:spacing w:val="-10"/>
          <w:sz w:val="32"/>
          <w:szCs w:val="32"/>
          <w:shd w:val="clear" w:color="auto" w:fill="FFFFFF"/>
          <w:lang w:eastAsia="zh-CN"/>
          <w14:textFill>
            <w14:solidFill>
              <w14:schemeClr w14:val="tx1"/>
            </w14:solidFill>
          </w14:textFill>
        </w:rPr>
        <w:t>，加快优质知识产权服务机构</w:t>
      </w:r>
      <w:r>
        <w:rPr>
          <w:rFonts w:hint="eastAsia" w:ascii="Times New Roman" w:hAnsi="Times New Roman" w:eastAsia="仿宋_GB2312"/>
          <w:b w:val="0"/>
          <w:bCs w:val="0"/>
          <w:color w:val="000000" w:themeColor="text1"/>
          <w:spacing w:val="-10"/>
          <w:sz w:val="32"/>
          <w:szCs w:val="32"/>
          <w:shd w:val="clear" w:color="auto" w:fill="FFFFFF"/>
          <w:lang w:eastAsia="zh-CN"/>
          <w14:textFill>
            <w14:solidFill>
              <w14:schemeClr w14:val="tx1"/>
            </w14:solidFill>
          </w14:textFill>
        </w:rPr>
        <w:t>引育</w:t>
      </w:r>
      <w:r>
        <w:rPr>
          <w:rFonts w:hint="default" w:ascii="Times New Roman" w:hAnsi="Times New Roman" w:eastAsia="仿宋_GB2312"/>
          <w:b w:val="0"/>
          <w:bCs w:val="0"/>
          <w:color w:val="000000" w:themeColor="text1"/>
          <w:spacing w:val="-10"/>
          <w:sz w:val="32"/>
          <w:szCs w:val="32"/>
          <w:shd w:val="clear" w:color="auto" w:fill="FFFFFF"/>
          <w:lang w:eastAsia="zh-CN"/>
          <w14:textFill>
            <w14:solidFill>
              <w14:schemeClr w14:val="tx1"/>
            </w14:solidFill>
          </w14:textFill>
        </w:rPr>
        <w:t>。</w:t>
      </w:r>
      <w:r>
        <w:rPr>
          <w:rFonts w:hint="eastAsia" w:ascii="Times New Roman" w:hAnsi="Times New Roman" w:eastAsia="仿宋_GB2312"/>
          <w:b w:val="0"/>
          <w:bCs w:val="0"/>
          <w:color w:val="000000" w:themeColor="text1"/>
          <w:spacing w:val="-10"/>
          <w:sz w:val="32"/>
          <w:szCs w:val="32"/>
          <w:shd w:val="clear" w:color="auto" w:fill="FFFFFF"/>
          <w:lang w:eastAsia="zh-CN"/>
          <w14:textFill>
            <w14:solidFill>
              <w14:schemeClr w14:val="tx1"/>
            </w14:solidFill>
          </w14:textFill>
        </w:rPr>
        <w:t>根据实际运营效应对知识产权服务机构给予阶梯式奖励，最高不超过</w:t>
      </w:r>
      <w:r>
        <w:rPr>
          <w:rFonts w:hint="eastAsia" w:ascii="Times New Roman" w:hAnsi="Times New Roman" w:eastAsia="仿宋_GB2312"/>
          <w:b w:val="0"/>
          <w:bCs w:val="0"/>
          <w:color w:val="000000" w:themeColor="text1"/>
          <w:spacing w:val="-10"/>
          <w:sz w:val="32"/>
          <w:szCs w:val="32"/>
          <w:shd w:val="clear" w:color="auto" w:fill="FFFFFF"/>
          <w:lang w:val="en-US" w:eastAsia="zh-CN"/>
          <w14:textFill>
            <w14:solidFill>
              <w14:schemeClr w14:val="tx1"/>
            </w14:solidFill>
          </w14:textFill>
        </w:rPr>
        <w:t>100万元。</w:t>
      </w:r>
    </w:p>
    <w:p w14:paraId="48451FBA">
      <w:pPr>
        <w:spacing w:line="560" w:lineRule="exact"/>
        <w:ind w:firstLine="603" w:firstLineChars="200"/>
        <w:rPr>
          <w:rFonts w:ascii="Times New Roman" w:hAnsi="Times New Roman" w:eastAsia="仿宋_GB2312"/>
          <w:color w:val="000000" w:themeColor="text1"/>
          <w:spacing w:val="-10"/>
          <w:sz w:val="32"/>
          <w:szCs w:val="32"/>
          <w:shd w:val="clear" w:color="auto" w:fill="FFFFFF"/>
          <w14:textFill>
            <w14:solidFill>
              <w14:schemeClr w14:val="tx1"/>
            </w14:solidFill>
          </w14:textFill>
        </w:rPr>
      </w:pP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1</w:t>
      </w:r>
      <w:r>
        <w:rPr>
          <w:rFonts w:hint="eastAsia" w:ascii="Times New Roman" w:hAnsi="Times New Roman" w:eastAsia="楷体_GB2312"/>
          <w:b/>
          <w:bCs/>
          <w:color w:val="000000" w:themeColor="text1"/>
          <w:spacing w:val="-10"/>
          <w:sz w:val="32"/>
          <w:szCs w:val="32"/>
          <w:shd w:val="clear" w:color="auto" w:fill="FFFFFF"/>
          <w14:textFill>
            <w14:solidFill>
              <w14:schemeClr w14:val="tx1"/>
            </w14:solidFill>
          </w14:textFill>
        </w:rPr>
        <w:t>3</w:t>
      </w: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.加大知识产权法律服务扶持。</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法律</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服务机构代理</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区内企业</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知识产权案件获得胜诉或实际获益的，每一案件给予机构</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不超过</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2万元补贴，每家机构每年度补贴</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不超过</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20万元。</w:t>
      </w:r>
    </w:p>
    <w:p w14:paraId="7AA6726C">
      <w:pPr>
        <w:spacing w:line="560" w:lineRule="exact"/>
        <w:ind w:firstLine="600" w:firstLineChars="200"/>
        <w:rPr>
          <w:rFonts w:ascii="Times New Roman" w:hAnsi="Times New Roman" w:eastAsia="黑体"/>
          <w:spacing w:val="-10"/>
          <w:sz w:val="32"/>
          <w:szCs w:val="32"/>
        </w:rPr>
      </w:pPr>
      <w:r>
        <w:rPr>
          <w:rFonts w:ascii="Times New Roman" w:hAnsi="Times New Roman" w:eastAsia="黑体"/>
          <w:spacing w:val="-10"/>
          <w:sz w:val="32"/>
          <w:szCs w:val="32"/>
        </w:rPr>
        <w:t>五、大力发展知识产权支撑体系</w:t>
      </w:r>
    </w:p>
    <w:p w14:paraId="3B6DBAAB">
      <w:pPr>
        <w:spacing w:line="560" w:lineRule="exact"/>
        <w:ind w:firstLine="603" w:firstLineChars="200"/>
        <w:rPr>
          <w:rFonts w:ascii="Times New Roman" w:hAnsi="Times New Roman" w:eastAsia="仿宋_GB2312"/>
          <w:color w:val="000000" w:themeColor="text1"/>
          <w:spacing w:val="-10"/>
          <w:sz w:val="32"/>
          <w:szCs w:val="32"/>
          <w:shd w:val="clear" w:color="auto" w:fill="FFFFFF"/>
          <w14:textFill>
            <w14:solidFill>
              <w14:schemeClr w14:val="tx1"/>
            </w14:solidFill>
          </w14:textFill>
        </w:rPr>
      </w:pP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1</w:t>
      </w:r>
      <w:r>
        <w:rPr>
          <w:rFonts w:hint="eastAsia" w:ascii="Times New Roman" w:hAnsi="Times New Roman" w:eastAsia="楷体_GB2312"/>
          <w:b/>
          <w:bCs/>
          <w:color w:val="000000" w:themeColor="text1"/>
          <w:spacing w:val="-10"/>
          <w:sz w:val="32"/>
          <w:szCs w:val="32"/>
          <w:shd w:val="clear" w:color="auto" w:fill="FFFFFF"/>
          <w14:textFill>
            <w14:solidFill>
              <w14:schemeClr w14:val="tx1"/>
            </w14:solidFill>
          </w14:textFill>
        </w:rPr>
        <w:t>4</w:t>
      </w: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.实施重点企业产业专利导航。</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对获批国家、省专利导航服务基地的，分别奖励30万元、20万元。围绕吴中区重点产业组织实施产业专利导航分析项目，每项给予不超过</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30</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万元资金支持</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每年开展</w:t>
      </w:r>
      <w:r>
        <w:rPr>
          <w:rFonts w:hint="eastAsia" w:ascii="Times New Roman" w:hAnsi="Times New Roman" w:eastAsia="仿宋_GB2312"/>
          <w:color w:val="000000" w:themeColor="text1"/>
          <w:spacing w:val="-10"/>
          <w:sz w:val="32"/>
          <w:szCs w:val="32"/>
          <w:shd w:val="clear" w:color="auto" w:fill="FFFFFF"/>
          <w:lang w:val="en-US" w:eastAsia="zh-CN"/>
          <w14:textFill>
            <w14:solidFill>
              <w14:schemeClr w14:val="tx1"/>
            </w14:solidFill>
          </w14:textFill>
        </w:rPr>
        <w:t>3</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项。鼓励企业开展专利导航项目，</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每项</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给予不超过</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10</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万元的资金支持</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，每年支持不超过10项</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w:t>
      </w:r>
    </w:p>
    <w:p w14:paraId="20B87BFF">
      <w:pPr>
        <w:spacing w:line="560" w:lineRule="exact"/>
        <w:ind w:firstLine="603" w:firstLineChars="200"/>
        <w:rPr>
          <w:rFonts w:ascii="Times New Roman" w:hAnsi="Times New Roman" w:eastAsia="仿宋_GB2312"/>
          <w:color w:val="000000" w:themeColor="text1"/>
          <w:spacing w:val="-10"/>
          <w:sz w:val="32"/>
          <w:szCs w:val="32"/>
          <w:shd w:val="clear" w:color="auto" w:fill="FFFFFF"/>
          <w14:textFill>
            <w14:solidFill>
              <w14:schemeClr w14:val="tx1"/>
            </w14:solidFill>
          </w14:textFill>
        </w:rPr>
      </w:pP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1</w:t>
      </w:r>
      <w:r>
        <w:rPr>
          <w:rFonts w:hint="eastAsia" w:ascii="Times New Roman" w:hAnsi="Times New Roman" w:eastAsia="楷体_GB2312"/>
          <w:b/>
          <w:bCs/>
          <w:color w:val="000000" w:themeColor="text1"/>
          <w:spacing w:val="-10"/>
          <w:sz w:val="32"/>
          <w:szCs w:val="32"/>
          <w:shd w:val="clear" w:color="auto" w:fill="FFFFFF"/>
          <w14:textFill>
            <w14:solidFill>
              <w14:schemeClr w14:val="tx1"/>
            </w14:solidFill>
          </w14:textFill>
        </w:rPr>
        <w:t>5</w:t>
      </w: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.推动知识产权数据库运用。</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对高新技术企业、</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省级以上</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专精特新企业、强企培育</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成长型及以上</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企业，购买知识产权数据库</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且</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当年度有发明专利</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授权</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的，</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一次性</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给予最高不超过</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50</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%的补贴，最高</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5</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万元。</w:t>
      </w:r>
    </w:p>
    <w:p w14:paraId="5592D3E7">
      <w:pPr>
        <w:spacing w:line="560" w:lineRule="exact"/>
        <w:ind w:firstLine="603" w:firstLineChars="200"/>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pP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1</w:t>
      </w:r>
      <w:r>
        <w:rPr>
          <w:rFonts w:hint="eastAsia" w:ascii="Times New Roman" w:hAnsi="Times New Roman" w:eastAsia="楷体_GB2312"/>
          <w:b/>
          <w:bCs/>
          <w:color w:val="000000" w:themeColor="text1"/>
          <w:spacing w:val="-10"/>
          <w:sz w:val="32"/>
          <w:szCs w:val="32"/>
          <w:shd w:val="clear" w:color="auto" w:fill="FFFFFF"/>
          <w14:textFill>
            <w14:solidFill>
              <w14:schemeClr w14:val="tx1"/>
            </w14:solidFill>
          </w14:textFill>
        </w:rPr>
        <w:t>6</w:t>
      </w: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.加</w:t>
      </w:r>
      <w:r>
        <w:rPr>
          <w:rFonts w:hint="eastAsia" w:ascii="Times New Roman" w:hAnsi="Times New Roman" w:eastAsia="楷体_GB2312"/>
          <w:b/>
          <w:bCs/>
          <w:color w:val="000000" w:themeColor="text1"/>
          <w:spacing w:val="-10"/>
          <w:sz w:val="32"/>
          <w:szCs w:val="32"/>
          <w:shd w:val="clear" w:color="auto" w:fill="FFFFFF"/>
          <w14:textFill>
            <w14:solidFill>
              <w14:schemeClr w14:val="tx1"/>
            </w14:solidFill>
          </w14:textFill>
        </w:rPr>
        <w:t>大</w:t>
      </w: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知识产权金融</w:t>
      </w:r>
      <w:r>
        <w:rPr>
          <w:rFonts w:hint="eastAsia" w:ascii="Times New Roman" w:hAnsi="Times New Roman" w:eastAsia="楷体_GB2312"/>
          <w:b/>
          <w:bCs/>
          <w:color w:val="000000" w:themeColor="text1"/>
          <w:spacing w:val="-10"/>
          <w:sz w:val="32"/>
          <w:szCs w:val="32"/>
          <w:shd w:val="clear" w:color="auto" w:fill="FFFFFF"/>
          <w14:textFill>
            <w14:solidFill>
              <w14:schemeClr w14:val="tx1"/>
            </w14:solidFill>
          </w14:textFill>
        </w:rPr>
        <w:t>支持</w:t>
      </w: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以专利、商标作为主要质押物开展融资的，对产生的评估费用给予不超过50％的补贴，每单限额2万元；对实际支付利息给予不超过30%的补贴，每笔融资每年最高补贴10万元。对运用知识产权发行证券的发行人或原始权益人，给予利息、税费、担保费及相关服务费不超过50%的一次性补贴，同一单位每年最高不超过100万元。</w:t>
      </w:r>
    </w:p>
    <w:p w14:paraId="3356BD3D">
      <w:pPr>
        <w:spacing w:line="560" w:lineRule="exact"/>
        <w:ind w:firstLine="603" w:firstLineChars="200"/>
        <w:rPr>
          <w:rFonts w:ascii="Times New Roman" w:hAnsi="Times New Roman" w:eastAsia="仿宋_GB2312"/>
          <w:color w:val="000000" w:themeColor="text1"/>
          <w:spacing w:val="-10"/>
          <w:sz w:val="32"/>
          <w:szCs w:val="32"/>
          <w:shd w:val="clear" w:color="auto" w:fill="FFFFFF"/>
          <w14:textFill>
            <w14:solidFill>
              <w14:schemeClr w14:val="tx1"/>
            </w14:solidFill>
          </w14:textFill>
        </w:rPr>
      </w:pP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1</w:t>
      </w:r>
      <w:r>
        <w:rPr>
          <w:rFonts w:hint="eastAsia" w:ascii="Times New Roman" w:hAnsi="Times New Roman" w:eastAsia="楷体_GB2312"/>
          <w:b/>
          <w:bCs/>
          <w:color w:val="000000" w:themeColor="text1"/>
          <w:spacing w:val="-10"/>
          <w:sz w:val="32"/>
          <w:szCs w:val="32"/>
          <w:shd w:val="clear" w:color="auto" w:fill="FFFFFF"/>
          <w14:textFill>
            <w14:solidFill>
              <w14:schemeClr w14:val="tx1"/>
            </w14:solidFill>
          </w14:textFill>
        </w:rPr>
        <w:t>7</w:t>
      </w: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.推进知识产权运营服务体系建设。</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对引进或获得国家级、省级、市级产业知识产权运营中心</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分别给予不超过200万元、150万元、100万元资金支持。引进区外</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发明专利的</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，根据交易实际发生金额</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给予不超过30</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的补贴，</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每家</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企业</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每年支持不超过</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50</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万元。</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受</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许可</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国内外专利的，</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按照</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受</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许可金额</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给予不超过10</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的补贴，</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每家</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企业</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每年支持不超过</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50</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万元。</w:t>
      </w:r>
    </w:p>
    <w:p w14:paraId="6857DC5C">
      <w:pPr>
        <w:spacing w:line="560" w:lineRule="exact"/>
        <w:ind w:firstLine="603" w:firstLineChars="200"/>
        <w:rPr>
          <w:rFonts w:ascii="Times New Roman" w:hAnsi="Times New Roman" w:eastAsia="仿宋_GB2312"/>
          <w:color w:val="000000" w:themeColor="text1"/>
          <w:spacing w:val="-10"/>
          <w:sz w:val="32"/>
          <w:szCs w:val="32"/>
          <w:shd w:val="clear" w:color="auto" w:fill="FFFFFF"/>
          <w14:textFill>
            <w14:solidFill>
              <w14:schemeClr w14:val="tx1"/>
            </w14:solidFill>
          </w14:textFill>
        </w:rPr>
      </w:pPr>
      <w:r>
        <w:rPr>
          <w:rFonts w:hint="eastAsia" w:ascii="Times New Roman" w:hAnsi="Times New Roman" w:eastAsia="楷体_GB2312"/>
          <w:b/>
          <w:bCs/>
          <w:color w:val="000000" w:themeColor="text1"/>
          <w:spacing w:val="-10"/>
          <w:sz w:val="32"/>
          <w:szCs w:val="32"/>
          <w:shd w:val="clear" w:color="auto" w:fill="FFFFFF"/>
          <w14:textFill>
            <w14:solidFill>
              <w14:schemeClr w14:val="tx1"/>
            </w14:solidFill>
          </w14:textFill>
        </w:rPr>
        <w:t>18</w:t>
      </w: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.壮大知识产权人才队伍。</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引进或获评全国知识产权领军人才的奖励10万元；引进或获评江苏省知识产权领军、骨干人才的分别奖励5万元、1万元。引进人才获评姑苏特聘人才A、B、C三类，分</w:t>
      </w:r>
      <w:r>
        <w:rPr>
          <w:rFonts w:hint="eastAsia" w:ascii="Times New Roman" w:hAnsi="Times New Roman" w:eastAsia="仿宋_GB2312"/>
          <w:color w:val="000000" w:themeColor="text1"/>
          <w:spacing w:val="-10"/>
          <w:sz w:val="32"/>
          <w:szCs w:val="32"/>
          <w:shd w:val="clear" w:color="auto" w:fill="auto"/>
          <w14:textFill>
            <w14:solidFill>
              <w14:schemeClr w14:val="tx1"/>
            </w14:solidFill>
          </w14:textFill>
        </w:rPr>
        <w:t>别给予250万元、100万元、50万元安家补贴，</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区级承担经费参照上级资金渠道列支。新获得国家专利代理师资格证的奖励1万元；取得律师资格、专利代理师“双证”的，奖励3万元。获得知识产权专业高级职称、中级职称、知识产权工程师结业证书分别奖励5000元、</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2</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000元、</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1</w:t>
      </w:r>
      <w:r>
        <w:rPr>
          <w:rFonts w:hint="eastAsia" w:ascii="Times New Roman" w:hAnsi="Times New Roman" w:eastAsia="仿宋_GB2312"/>
          <w:color w:val="000000" w:themeColor="text1"/>
          <w:spacing w:val="-10"/>
          <w:sz w:val="32"/>
          <w:szCs w:val="32"/>
          <w:shd w:val="clear" w:color="auto" w:fill="FFFFFF"/>
          <w14:textFill>
            <w14:solidFill>
              <w14:schemeClr w14:val="tx1"/>
            </w14:solidFill>
          </w14:textFill>
        </w:rPr>
        <w:t>000元。</w:t>
      </w:r>
    </w:p>
    <w:p w14:paraId="20073FA8">
      <w:pPr>
        <w:spacing w:line="560" w:lineRule="exact"/>
        <w:ind w:firstLine="600" w:firstLineChars="200"/>
        <w:rPr>
          <w:rFonts w:ascii="Times New Roman" w:hAnsi="Times New Roman" w:eastAsia="黑体"/>
          <w:spacing w:val="-10"/>
          <w:sz w:val="32"/>
          <w:szCs w:val="32"/>
        </w:rPr>
      </w:pPr>
      <w:r>
        <w:rPr>
          <w:rFonts w:ascii="Times New Roman" w:hAnsi="Times New Roman" w:eastAsia="黑体"/>
          <w:spacing w:val="-10"/>
          <w:sz w:val="32"/>
          <w:szCs w:val="32"/>
        </w:rPr>
        <w:t>六、推进质量标准体系建设</w:t>
      </w:r>
    </w:p>
    <w:p w14:paraId="48B1E555">
      <w:pPr>
        <w:spacing w:line="560" w:lineRule="exact"/>
        <w:ind w:firstLine="603" w:firstLineChars="200"/>
        <w:rPr>
          <w:rStyle w:val="8"/>
          <w:rFonts w:hint="default" w:ascii="Times New Roman" w:hAnsi="Times New Roman"/>
          <w:color w:val="auto"/>
          <w:highlight w:val="none"/>
        </w:rPr>
      </w:pPr>
      <w:r>
        <w:rPr>
          <w:rFonts w:hint="eastAsia" w:ascii="Times New Roman" w:hAnsi="Times New Roman" w:eastAsia="楷体_GB2312"/>
          <w:b/>
          <w:bCs/>
          <w:color w:val="000000" w:themeColor="text1"/>
          <w:spacing w:val="-10"/>
          <w:sz w:val="32"/>
          <w:szCs w:val="32"/>
          <w:shd w:val="clear" w:color="auto" w:fill="FFFFFF"/>
          <w:lang w:val="en-US" w:eastAsia="zh-CN"/>
          <w14:textFill>
            <w14:solidFill>
              <w14:schemeClr w14:val="tx1"/>
            </w14:solidFill>
          </w14:textFill>
        </w:rPr>
        <w:t>19</w:t>
      </w: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.鼓励企事业单位创新质量管理方法。</w:t>
      </w:r>
      <w:r>
        <w:rPr>
          <w:rFonts w:ascii="Times New Roman" w:hAnsi="Times New Roman" w:eastAsia="仿宋_GB2312"/>
          <w:color w:val="auto"/>
          <w:spacing w:val="-10"/>
          <w:sz w:val="32"/>
          <w:szCs w:val="32"/>
          <w:highlight w:val="none"/>
        </w:rPr>
        <w:t>当年获评中国质量奖、中国质量奖提名奖的，分别一次性奖励300万元、100万元；当年获评江苏省省长质量奖、江苏省省长质量奖提名奖的，分别一次性奖励100万元、30万元；当年获评苏州市市长质量奖、苏州市质量管理优秀奖、苏州市质量奖的，分别一次性奖励100万元、20万元、10万元</w:t>
      </w:r>
      <w:r>
        <w:rPr>
          <w:rFonts w:hint="eastAsia" w:ascii="Times New Roman" w:hAnsi="Times New Roman" w:eastAsia="仿宋_GB2312"/>
          <w:color w:val="auto"/>
          <w:spacing w:val="-10"/>
          <w:sz w:val="32"/>
          <w:szCs w:val="32"/>
          <w:highlight w:val="none"/>
          <w:lang w:eastAsia="zh-CN"/>
        </w:rPr>
        <w:t>；</w:t>
      </w:r>
      <w:r>
        <w:rPr>
          <w:rFonts w:hint="default" w:ascii="Times New Roman" w:hAnsi="Times New Roman" w:eastAsia="仿宋_GB2312" w:cs="Times New Roman"/>
          <w:color w:val="auto"/>
          <w:spacing w:val="-10"/>
          <w:sz w:val="32"/>
          <w:szCs w:val="32"/>
          <w:highlight w:val="none"/>
          <w:shd w:val="clear" w:color="auto" w:fill="FFFFFF"/>
        </w:rPr>
        <w:t>当年获评</w:t>
      </w:r>
      <w:r>
        <w:rPr>
          <w:rFonts w:hint="default" w:ascii="Times New Roman" w:hAnsi="Times New Roman" w:eastAsia="仿宋_GB2312" w:cs="Times New Roman"/>
          <w:color w:val="auto"/>
          <w:spacing w:val="-10"/>
          <w:sz w:val="32"/>
          <w:szCs w:val="32"/>
          <w:highlight w:val="none"/>
          <w:shd w:val="clear" w:color="auto" w:fill="FFFFFF"/>
          <w:lang w:val="en-US" w:eastAsia="zh-CN"/>
        </w:rPr>
        <w:t>吴中区</w:t>
      </w:r>
      <w:r>
        <w:rPr>
          <w:rFonts w:hint="default" w:ascii="Times New Roman" w:hAnsi="Times New Roman" w:eastAsia="仿宋_GB2312" w:cs="Times New Roman"/>
          <w:color w:val="auto"/>
          <w:spacing w:val="-10"/>
          <w:sz w:val="32"/>
          <w:szCs w:val="32"/>
          <w:highlight w:val="none"/>
          <w:shd w:val="clear" w:color="auto" w:fill="FFFFFF"/>
        </w:rPr>
        <w:t>质量奖、</w:t>
      </w:r>
      <w:r>
        <w:rPr>
          <w:rFonts w:hint="default" w:ascii="Times New Roman" w:hAnsi="Times New Roman" w:eastAsia="仿宋_GB2312" w:cs="Times New Roman"/>
          <w:color w:val="auto"/>
          <w:spacing w:val="-10"/>
          <w:sz w:val="32"/>
          <w:szCs w:val="32"/>
          <w:highlight w:val="none"/>
          <w:shd w:val="clear" w:color="auto" w:fill="FFFFFF"/>
          <w:lang w:val="en-US" w:eastAsia="zh-CN"/>
        </w:rPr>
        <w:t>吴中区</w:t>
      </w:r>
      <w:r>
        <w:rPr>
          <w:rFonts w:hint="default" w:ascii="Times New Roman" w:hAnsi="Times New Roman" w:eastAsia="仿宋_GB2312" w:cs="Times New Roman"/>
          <w:color w:val="auto"/>
          <w:spacing w:val="-10"/>
          <w:sz w:val="32"/>
          <w:szCs w:val="32"/>
          <w:highlight w:val="none"/>
          <w:shd w:val="clear" w:color="auto" w:fill="FFFFFF"/>
        </w:rPr>
        <w:t>质量管理</w:t>
      </w:r>
      <w:r>
        <w:rPr>
          <w:rFonts w:hint="default" w:ascii="Times New Roman" w:hAnsi="Times New Roman" w:eastAsia="仿宋_GB2312" w:cs="Times New Roman"/>
          <w:color w:val="auto"/>
          <w:spacing w:val="-10"/>
          <w:sz w:val="32"/>
          <w:szCs w:val="32"/>
          <w:highlight w:val="none"/>
          <w:shd w:val="clear" w:color="auto" w:fill="FFFFFF"/>
          <w:lang w:val="en-US" w:eastAsia="zh-CN"/>
        </w:rPr>
        <w:t>优胜</w:t>
      </w:r>
      <w:r>
        <w:rPr>
          <w:rFonts w:hint="default" w:ascii="Times New Roman" w:hAnsi="Times New Roman" w:eastAsia="仿宋_GB2312" w:cs="Times New Roman"/>
          <w:color w:val="auto"/>
          <w:spacing w:val="-10"/>
          <w:sz w:val="32"/>
          <w:szCs w:val="32"/>
          <w:highlight w:val="none"/>
          <w:shd w:val="clear" w:color="auto" w:fill="FFFFFF"/>
        </w:rPr>
        <w:t>奖的，分别一次性奖励</w:t>
      </w:r>
      <w:r>
        <w:rPr>
          <w:rFonts w:hint="default" w:ascii="Times New Roman" w:hAnsi="Times New Roman" w:eastAsia="仿宋_GB2312" w:cs="Times New Roman"/>
          <w:color w:val="auto"/>
          <w:spacing w:val="-10"/>
          <w:sz w:val="32"/>
          <w:szCs w:val="32"/>
          <w:highlight w:val="none"/>
          <w:shd w:val="clear" w:color="auto" w:fill="FFFFFF"/>
          <w:lang w:val="en-US" w:eastAsia="zh-CN"/>
        </w:rPr>
        <w:t>50</w:t>
      </w:r>
      <w:r>
        <w:rPr>
          <w:rFonts w:hint="default" w:ascii="Times New Roman" w:hAnsi="Times New Roman" w:eastAsia="仿宋_GB2312" w:cs="Times New Roman"/>
          <w:color w:val="auto"/>
          <w:spacing w:val="-10"/>
          <w:sz w:val="32"/>
          <w:szCs w:val="32"/>
          <w:highlight w:val="none"/>
          <w:shd w:val="clear" w:color="auto" w:fill="FFFFFF"/>
        </w:rPr>
        <w:t>万元、10万元。</w:t>
      </w:r>
      <w:r>
        <w:rPr>
          <w:rFonts w:ascii="Times New Roman" w:hAnsi="Times New Roman" w:eastAsia="仿宋_GB2312"/>
          <w:color w:val="auto"/>
          <w:spacing w:val="-10"/>
          <w:sz w:val="32"/>
          <w:szCs w:val="32"/>
          <w:highlight w:val="none"/>
        </w:rPr>
        <w:t>对同一年度获得以上多个奖项的企事业单位，按 “就高不</w:t>
      </w:r>
      <w:r>
        <w:rPr>
          <w:rFonts w:hint="eastAsia" w:ascii="Times New Roman" w:hAnsi="Times New Roman" w:eastAsia="仿宋_GB2312"/>
          <w:color w:val="auto"/>
          <w:spacing w:val="-10"/>
          <w:sz w:val="32"/>
          <w:szCs w:val="32"/>
          <w:highlight w:val="none"/>
          <w:lang w:val="en-US" w:eastAsia="zh-CN"/>
        </w:rPr>
        <w:t>叠加</w:t>
      </w:r>
      <w:r>
        <w:rPr>
          <w:rFonts w:ascii="Times New Roman" w:hAnsi="Times New Roman" w:eastAsia="仿宋_GB2312"/>
          <w:color w:val="auto"/>
          <w:spacing w:val="-10"/>
          <w:sz w:val="32"/>
          <w:szCs w:val="32"/>
          <w:highlight w:val="none"/>
        </w:rPr>
        <w:t>”原则享受，社会团体参照执行。</w:t>
      </w:r>
    </w:p>
    <w:p w14:paraId="70C887DF">
      <w:pPr>
        <w:spacing w:line="560" w:lineRule="exact"/>
        <w:ind w:firstLine="603" w:firstLineChars="200"/>
        <w:rPr>
          <w:rStyle w:val="8"/>
          <w:rFonts w:hint="default" w:ascii="Times New Roman" w:hAnsi="Times New Roman"/>
          <w:color w:val="auto"/>
          <w:highlight w:val="none"/>
        </w:rPr>
      </w:pPr>
      <w:r>
        <w:rPr>
          <w:rFonts w:hint="eastAsia" w:ascii="Times New Roman" w:hAnsi="Times New Roman" w:eastAsia="楷体_GB2312"/>
          <w:b/>
          <w:bCs/>
          <w:color w:val="000000" w:themeColor="text1"/>
          <w:spacing w:val="-10"/>
          <w:sz w:val="32"/>
          <w:szCs w:val="32"/>
          <w:shd w:val="clear" w:color="auto" w:fill="FFFFFF"/>
          <w:lang w:val="en-US" w:eastAsia="zh-CN"/>
          <w14:textFill>
            <w14:solidFill>
              <w14:schemeClr w14:val="tx1"/>
            </w14:solidFill>
          </w14:textFill>
        </w:rPr>
        <w:t>20</w:t>
      </w: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.鼓励企事业单位积极开展质量品牌</w:t>
      </w:r>
      <w:r>
        <w:rPr>
          <w:rFonts w:hint="eastAsia" w:ascii="Times New Roman" w:hAnsi="Times New Roman" w:eastAsia="楷体_GB2312"/>
          <w:b/>
          <w:bCs/>
          <w:color w:val="000000" w:themeColor="text1"/>
          <w:spacing w:val="-10"/>
          <w:sz w:val="32"/>
          <w:szCs w:val="32"/>
          <w:shd w:val="clear" w:color="auto" w:fill="FFFFFF"/>
          <w:lang w:val="en-US" w:eastAsia="zh-CN"/>
          <w14:textFill>
            <w14:solidFill>
              <w14:schemeClr w14:val="tx1"/>
            </w14:solidFill>
          </w14:textFill>
        </w:rPr>
        <w:t>建设</w:t>
      </w: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w:t>
      </w:r>
      <w:r>
        <w:rPr>
          <w:rFonts w:ascii="Times New Roman" w:hAnsi="Times New Roman" w:eastAsia="仿宋_GB2312"/>
          <w:color w:val="auto"/>
          <w:spacing w:val="-10"/>
          <w:sz w:val="32"/>
          <w:szCs w:val="32"/>
          <w:highlight w:val="none"/>
        </w:rPr>
        <w:t>对新通过“江苏精品”认证的企事业单位一次性奖励50万元。对新通过“苏州制造”品牌认证的企事业单位奖励20万元。对新通过“苏州制造”品牌企业质量管理体系、能源管理体系认证</w:t>
      </w:r>
      <w:r>
        <w:rPr>
          <w:rFonts w:hint="eastAsia" w:ascii="Times New Roman" w:hAnsi="Times New Roman" w:eastAsia="仿宋_GB2312"/>
          <w:color w:val="auto"/>
          <w:spacing w:val="-10"/>
          <w:sz w:val="32"/>
          <w:szCs w:val="32"/>
          <w:highlight w:val="none"/>
          <w:lang w:val="en-US" w:eastAsia="zh-CN"/>
        </w:rPr>
        <w:t>的企业一次性奖励5万元；对新通过</w:t>
      </w:r>
      <w:r>
        <w:rPr>
          <w:rFonts w:ascii="Times New Roman" w:hAnsi="Times New Roman" w:eastAsia="仿宋_GB2312"/>
          <w:color w:val="auto"/>
          <w:spacing w:val="-10"/>
          <w:sz w:val="32"/>
          <w:szCs w:val="32"/>
          <w:highlight w:val="none"/>
        </w:rPr>
        <w:t>节能产品、低碳产品、绿色产品、内外贸“同线同标同质”</w:t>
      </w:r>
      <w:r>
        <w:rPr>
          <w:rFonts w:hint="eastAsia" w:ascii="Times New Roman" w:hAnsi="Times New Roman" w:eastAsia="仿宋_GB2312"/>
          <w:color w:val="auto"/>
          <w:spacing w:val="-10"/>
          <w:sz w:val="32"/>
          <w:szCs w:val="32"/>
          <w:highlight w:val="none"/>
          <w:lang w:val="en-US" w:eastAsia="zh-CN"/>
        </w:rPr>
        <w:t>产品等品牌认证、</w:t>
      </w:r>
      <w:r>
        <w:rPr>
          <w:rFonts w:ascii="Times New Roman" w:hAnsi="Times New Roman" w:eastAsia="仿宋_GB2312"/>
          <w:color w:val="auto"/>
          <w:spacing w:val="-10"/>
          <w:sz w:val="32"/>
          <w:szCs w:val="32"/>
          <w:highlight w:val="none"/>
        </w:rPr>
        <w:t>评</w:t>
      </w:r>
      <w:r>
        <w:rPr>
          <w:rFonts w:hint="eastAsia" w:ascii="Times New Roman" w:hAnsi="Times New Roman" w:eastAsia="仿宋_GB2312"/>
          <w:color w:val="auto"/>
          <w:spacing w:val="-10"/>
          <w:sz w:val="32"/>
          <w:szCs w:val="32"/>
          <w:highlight w:val="none"/>
          <w:lang w:val="en-US" w:eastAsia="zh-CN"/>
        </w:rPr>
        <w:t>价或审核</w:t>
      </w:r>
      <w:r>
        <w:rPr>
          <w:rFonts w:ascii="Times New Roman" w:hAnsi="Times New Roman" w:eastAsia="仿宋_GB2312"/>
          <w:color w:val="auto"/>
          <w:spacing w:val="-10"/>
          <w:sz w:val="32"/>
          <w:szCs w:val="32"/>
          <w:highlight w:val="none"/>
        </w:rPr>
        <w:t>的企业，一次性给予奖励</w:t>
      </w:r>
      <w:r>
        <w:rPr>
          <w:rFonts w:hint="eastAsia" w:ascii="Times New Roman" w:hAnsi="Times New Roman" w:eastAsia="仿宋_GB2312"/>
          <w:color w:val="auto"/>
          <w:spacing w:val="-10"/>
          <w:sz w:val="32"/>
          <w:szCs w:val="32"/>
          <w:highlight w:val="none"/>
          <w:lang w:val="en-US" w:eastAsia="zh-CN"/>
        </w:rPr>
        <w:t>3</w:t>
      </w:r>
      <w:r>
        <w:rPr>
          <w:rFonts w:ascii="Times New Roman" w:hAnsi="Times New Roman" w:eastAsia="仿宋_GB2312"/>
          <w:color w:val="auto"/>
          <w:spacing w:val="-10"/>
          <w:sz w:val="32"/>
          <w:szCs w:val="32"/>
          <w:highlight w:val="none"/>
        </w:rPr>
        <w:t>万元。前述</w:t>
      </w:r>
      <w:r>
        <w:rPr>
          <w:rFonts w:hint="eastAsia" w:ascii="Times New Roman" w:hAnsi="Times New Roman" w:eastAsia="仿宋_GB2312"/>
          <w:color w:val="auto"/>
          <w:spacing w:val="-10"/>
          <w:sz w:val="32"/>
          <w:szCs w:val="32"/>
          <w:highlight w:val="none"/>
          <w:lang w:val="en-US" w:eastAsia="zh-CN"/>
        </w:rPr>
        <w:t>体系、</w:t>
      </w:r>
      <w:r>
        <w:rPr>
          <w:rFonts w:ascii="Times New Roman" w:hAnsi="Times New Roman" w:eastAsia="仿宋_GB2312"/>
          <w:color w:val="auto"/>
          <w:spacing w:val="-10"/>
          <w:sz w:val="32"/>
          <w:szCs w:val="32"/>
          <w:highlight w:val="none"/>
        </w:rPr>
        <w:t>品牌</w:t>
      </w:r>
      <w:r>
        <w:rPr>
          <w:rFonts w:hint="eastAsia" w:ascii="Times New Roman" w:hAnsi="Times New Roman" w:eastAsia="仿宋_GB2312"/>
          <w:color w:val="auto"/>
          <w:spacing w:val="-10"/>
          <w:sz w:val="32"/>
          <w:szCs w:val="32"/>
          <w:highlight w:val="none"/>
          <w:lang w:val="en-US" w:eastAsia="zh-CN"/>
        </w:rPr>
        <w:t>建设</w:t>
      </w:r>
      <w:r>
        <w:rPr>
          <w:rFonts w:ascii="Times New Roman" w:hAnsi="Times New Roman" w:eastAsia="仿宋_GB2312"/>
          <w:color w:val="auto"/>
          <w:spacing w:val="-10"/>
          <w:sz w:val="32"/>
          <w:szCs w:val="32"/>
          <w:highlight w:val="none"/>
        </w:rPr>
        <w:t>，按通过情况分别奖励。</w:t>
      </w:r>
    </w:p>
    <w:p w14:paraId="4F1B4923">
      <w:pPr>
        <w:spacing w:line="560" w:lineRule="exact"/>
        <w:ind w:firstLine="603" w:firstLineChars="200"/>
        <w:rPr>
          <w:rStyle w:val="8"/>
          <w:rFonts w:hint="default" w:ascii="Times New Roman" w:hAnsi="Times New Roman"/>
          <w:color w:val="auto"/>
          <w:highlight w:val="none"/>
        </w:rPr>
      </w:pPr>
      <w:r>
        <w:rPr>
          <w:rFonts w:hint="eastAsia" w:ascii="Times New Roman" w:hAnsi="Times New Roman" w:eastAsia="楷体_GB2312"/>
          <w:b/>
          <w:bCs/>
          <w:color w:val="000000" w:themeColor="text1"/>
          <w:spacing w:val="-10"/>
          <w:sz w:val="32"/>
          <w:szCs w:val="32"/>
          <w:shd w:val="clear" w:color="auto" w:fill="FFFFFF"/>
          <w:lang w:val="en-US" w:eastAsia="zh-CN"/>
          <w14:textFill>
            <w14:solidFill>
              <w14:schemeClr w14:val="tx1"/>
            </w14:solidFill>
          </w14:textFill>
        </w:rPr>
        <w:t>21</w:t>
      </w: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.鼓励企事业单位推进质量诚信体系建设。</w:t>
      </w:r>
      <w:r>
        <w:rPr>
          <w:rFonts w:ascii="Times New Roman" w:hAnsi="Times New Roman" w:eastAsia="仿宋_GB2312"/>
          <w:color w:val="auto"/>
          <w:spacing w:val="-10"/>
          <w:sz w:val="32"/>
          <w:szCs w:val="32"/>
          <w:highlight w:val="none"/>
        </w:rPr>
        <w:t>当年获评江苏省质量信用AAA等级的一次性奖励50万元，当年获评江苏省工质量信用AA等级的一次性奖励20万元。</w:t>
      </w:r>
    </w:p>
    <w:p w14:paraId="6FBB295F">
      <w:pPr>
        <w:spacing w:line="560" w:lineRule="exact"/>
        <w:ind w:firstLine="603" w:firstLineChars="200"/>
        <w:rPr>
          <w:rFonts w:ascii="Times New Roman" w:hAnsi="Times New Roman" w:eastAsia="仿宋_GB2312"/>
          <w:spacing w:val="-10"/>
          <w:sz w:val="32"/>
          <w:szCs w:val="32"/>
        </w:rPr>
      </w:pPr>
      <w:r>
        <w:rPr>
          <w:rFonts w:hint="eastAsia" w:ascii="Times New Roman" w:hAnsi="Times New Roman" w:eastAsia="楷体_GB2312"/>
          <w:b/>
          <w:bCs/>
          <w:color w:val="000000" w:themeColor="text1"/>
          <w:spacing w:val="-10"/>
          <w:sz w:val="32"/>
          <w:szCs w:val="32"/>
          <w:shd w:val="clear" w:color="auto" w:fill="FFFFFF"/>
          <w:lang w:val="en-US" w:eastAsia="zh-CN"/>
          <w14:textFill>
            <w14:solidFill>
              <w14:schemeClr w14:val="tx1"/>
            </w14:solidFill>
          </w14:textFill>
        </w:rPr>
        <w:t>22</w:t>
      </w: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.鼓励企事业单位开展质量提升微创新。</w:t>
      </w:r>
      <w:r>
        <w:rPr>
          <w:rFonts w:ascii="Times New Roman" w:hAnsi="Times New Roman" w:eastAsia="仿宋_GB2312"/>
          <w:color w:val="auto"/>
          <w:spacing w:val="-10"/>
          <w:sz w:val="32"/>
          <w:szCs w:val="32"/>
          <w:highlight w:val="none"/>
        </w:rPr>
        <w:t>对获得苏州市质量提升微创新成果竞赛一、二、三等奖及优胜奖的团队分别奖</w:t>
      </w:r>
      <w:r>
        <w:rPr>
          <w:rFonts w:ascii="Times New Roman" w:hAnsi="Times New Roman" w:eastAsia="仿宋_GB2312"/>
          <w:spacing w:val="-10"/>
          <w:sz w:val="32"/>
          <w:szCs w:val="32"/>
        </w:rPr>
        <w:t>励5万元、3万元、2万元、1万元。</w:t>
      </w:r>
    </w:p>
    <w:p w14:paraId="0B2E2095">
      <w:pPr>
        <w:spacing w:line="560" w:lineRule="exact"/>
        <w:ind w:firstLine="603" w:firstLineChars="200"/>
        <w:rPr>
          <w:rFonts w:ascii="Times New Roman" w:hAnsi="Times New Roman" w:eastAsia="仿宋_GB2312"/>
          <w:spacing w:val="-10"/>
          <w:sz w:val="32"/>
          <w:szCs w:val="32"/>
        </w:rPr>
      </w:pP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2</w:t>
      </w:r>
      <w:r>
        <w:rPr>
          <w:rFonts w:hint="eastAsia" w:ascii="Times New Roman" w:hAnsi="Times New Roman" w:eastAsia="楷体_GB2312"/>
          <w:b/>
          <w:bCs/>
          <w:color w:val="000000" w:themeColor="text1"/>
          <w:spacing w:val="-10"/>
          <w:sz w:val="32"/>
          <w:szCs w:val="32"/>
          <w:shd w:val="clear" w:color="auto" w:fill="FFFFFF"/>
          <w:lang w:val="en-US" w:eastAsia="zh-CN"/>
          <w14:textFill>
            <w14:solidFill>
              <w14:schemeClr w14:val="tx1"/>
            </w14:solidFill>
          </w14:textFill>
        </w:rPr>
        <w:t>3</w:t>
      </w: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.鼓励企事业单位强化检验检测认证能力建设。</w:t>
      </w:r>
      <w:r>
        <w:rPr>
          <w:rFonts w:ascii="Times New Roman" w:hAnsi="Times New Roman" w:eastAsia="仿宋_GB2312"/>
          <w:spacing w:val="-10"/>
          <w:sz w:val="32"/>
          <w:szCs w:val="32"/>
        </w:rPr>
        <w:t>对新获得CNAS认可证书的单位或检测机构一次性给予补助3万元。对面向服务于吴中区重点产业的企事业单位或机构（机动车检测、建设工程类检测除外），新通过CMA资质认定的一次性奖励10万元。</w:t>
      </w:r>
    </w:p>
    <w:p w14:paraId="046CF56C">
      <w:pPr>
        <w:spacing w:line="560" w:lineRule="exact"/>
        <w:ind w:firstLine="603" w:firstLineChars="200"/>
        <w:rPr>
          <w:rFonts w:ascii="Times New Roman" w:hAnsi="Times New Roman" w:eastAsia="仿宋_GB2312"/>
          <w:spacing w:val="-10"/>
          <w:sz w:val="32"/>
          <w:szCs w:val="32"/>
        </w:rPr>
      </w:pP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2</w:t>
      </w:r>
      <w:r>
        <w:rPr>
          <w:rFonts w:hint="eastAsia" w:ascii="Times New Roman" w:hAnsi="Times New Roman" w:eastAsia="楷体_GB2312"/>
          <w:b/>
          <w:bCs/>
          <w:color w:val="000000" w:themeColor="text1"/>
          <w:spacing w:val="-10"/>
          <w:sz w:val="32"/>
          <w:szCs w:val="32"/>
          <w:shd w:val="clear" w:color="auto" w:fill="FFFFFF"/>
          <w:lang w:val="en-US" w:eastAsia="zh-CN"/>
          <w14:textFill>
            <w14:solidFill>
              <w14:schemeClr w14:val="tx1"/>
            </w14:solidFill>
          </w14:textFill>
        </w:rPr>
        <w:t>4</w:t>
      </w: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.鼓励企事业单位主导和参与标准制定。</w:t>
      </w:r>
      <w:r>
        <w:rPr>
          <w:rFonts w:ascii="Times New Roman" w:hAnsi="Times New Roman" w:eastAsia="仿宋_GB2312"/>
          <w:spacing w:val="-10"/>
          <w:sz w:val="32"/>
          <w:szCs w:val="32"/>
        </w:rPr>
        <w:t>对主导国际标准、国家标准、行业标准（地方标准）制定的单位，分别给予每项100万元、50万元、20万元的奖励。对参与国际标准、国家标准、行业标准、地方标准制定的单位，根据国标委证明文件或起草单位排名，第二至第五位分别按照主导标准制定的60%、40%、20%和10%予以奖励，参与制定多项标准的，每家企业每年度最高奖励150万元。所有标准修订项目的奖励额度均按相应标准制定项目的60%执行。</w:t>
      </w:r>
    </w:p>
    <w:p w14:paraId="601AD704">
      <w:pPr>
        <w:spacing w:line="560" w:lineRule="exact"/>
        <w:ind w:firstLine="603" w:firstLineChars="200"/>
        <w:rPr>
          <w:rStyle w:val="8"/>
          <w:rFonts w:hint="default" w:ascii="Times New Roman" w:hAnsi="Times New Roman" w:eastAsia="Arial Unicode MS"/>
          <w:color w:val="FF0000"/>
        </w:rPr>
      </w:pP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2</w:t>
      </w:r>
      <w:r>
        <w:rPr>
          <w:rFonts w:hint="eastAsia" w:ascii="Times New Roman" w:hAnsi="Times New Roman" w:eastAsia="楷体_GB2312"/>
          <w:b/>
          <w:bCs/>
          <w:color w:val="000000" w:themeColor="text1"/>
          <w:spacing w:val="-10"/>
          <w:sz w:val="32"/>
          <w:szCs w:val="32"/>
          <w:shd w:val="clear" w:color="auto" w:fill="FFFFFF"/>
          <w:lang w:val="en-US" w:eastAsia="zh-CN"/>
          <w14:textFill>
            <w14:solidFill>
              <w14:schemeClr w14:val="tx1"/>
            </w14:solidFill>
          </w14:textFill>
        </w:rPr>
        <w:t>5</w:t>
      </w: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.争创标准创新贡献奖。</w:t>
      </w:r>
      <w:r>
        <w:rPr>
          <w:rFonts w:ascii="Times New Roman" w:hAnsi="Times New Roman" w:eastAsia="仿宋_GB2312"/>
          <w:spacing w:val="-10"/>
          <w:sz w:val="32"/>
          <w:szCs w:val="32"/>
        </w:rPr>
        <w:t>对主导标准获得中国标准创新贡献奖标准项目奖一等奖、二等奖、三等奖的单位，分别给予50万元、30万元、20万元的奖励；对参与标准获得中国标准创新贡献奖标准项目奖一等奖、二等奖、三等奖的单位，按授奖单位排名，第二位分别给予30万元、18万元、12万元的奖励，第三位分别给予20万元、12万元、8万元的奖励；对获得中国标准创新贡献奖组织奖的单位，给予20万元奖励。</w:t>
      </w:r>
    </w:p>
    <w:p w14:paraId="0FB0B00E">
      <w:pPr>
        <w:spacing w:line="560" w:lineRule="exact"/>
        <w:ind w:firstLine="603" w:firstLineChars="200"/>
        <w:rPr>
          <w:rFonts w:ascii="Times New Roman" w:hAnsi="Times New Roman" w:eastAsia="仿宋_GB2312"/>
          <w:spacing w:val="-10"/>
          <w:sz w:val="32"/>
          <w:szCs w:val="32"/>
        </w:rPr>
      </w:pPr>
      <w:r>
        <w:rPr>
          <w:rFonts w:hint="eastAsia" w:ascii="Times New Roman" w:hAnsi="Times New Roman" w:eastAsia="楷体_GB2312"/>
          <w:b/>
          <w:bCs/>
          <w:color w:val="000000" w:themeColor="text1"/>
          <w:spacing w:val="-10"/>
          <w:sz w:val="32"/>
          <w:szCs w:val="32"/>
          <w:shd w:val="clear" w:color="auto" w:fill="FFFFFF"/>
          <w:lang w:val="en-US" w:eastAsia="zh-CN"/>
          <w14:textFill>
            <w14:solidFill>
              <w14:schemeClr w14:val="tx1"/>
            </w14:solidFill>
          </w14:textFill>
        </w:rPr>
        <w:t>26</w:t>
      </w: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.积极开展标准化试点示范。</w:t>
      </w:r>
      <w:r>
        <w:rPr>
          <w:rFonts w:ascii="Times New Roman" w:hAnsi="Times New Roman" w:eastAsia="仿宋_GB2312"/>
          <w:spacing w:val="-10"/>
          <w:sz w:val="32"/>
          <w:szCs w:val="32"/>
        </w:rPr>
        <w:t>对通过考核验收的国家级、省级标准化试点示范的企事业单位，分别奖励20万元、10万元。</w:t>
      </w:r>
    </w:p>
    <w:p w14:paraId="40BE8C9B">
      <w:pPr>
        <w:spacing w:line="560" w:lineRule="exact"/>
        <w:ind w:firstLine="603" w:firstLineChars="200"/>
        <w:rPr>
          <w:rStyle w:val="8"/>
          <w:rFonts w:hint="default" w:ascii="Times New Roman" w:hAnsi="Times New Roman" w:eastAsia="Arial Unicode MS"/>
          <w:color w:val="FF0000"/>
        </w:rPr>
      </w:pPr>
      <w:r>
        <w:rPr>
          <w:rFonts w:hint="eastAsia" w:ascii="Times New Roman" w:hAnsi="Times New Roman" w:eastAsia="楷体_GB2312"/>
          <w:b/>
          <w:bCs/>
          <w:color w:val="000000" w:themeColor="text1"/>
          <w:spacing w:val="-10"/>
          <w:sz w:val="32"/>
          <w:szCs w:val="32"/>
          <w:shd w:val="clear" w:color="auto" w:fill="FFFFFF"/>
          <w:lang w:val="en-US" w:eastAsia="zh-CN"/>
          <w14:textFill>
            <w14:solidFill>
              <w14:schemeClr w14:val="tx1"/>
            </w14:solidFill>
          </w14:textFill>
        </w:rPr>
        <w:t>27</w:t>
      </w: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.加强标准化技术组织建设。</w:t>
      </w:r>
      <w:r>
        <w:rPr>
          <w:rFonts w:ascii="Times New Roman" w:hAnsi="Times New Roman" w:eastAsia="仿宋_GB2312"/>
          <w:spacing w:val="-10"/>
          <w:sz w:val="32"/>
          <w:szCs w:val="32"/>
        </w:rPr>
        <w:t>推动企业深入参与国内外标准化活动，对承担国际专业标准化技术委员会秘书处、国际专业标准化分技术委员会秘书处、国际专业标准化工作组召集人工作的单位，分别给予每项100万元、50万元和30万元奖励。对承担全国专业标准化技术委员会秘书处、全国专业标准化分技术委员会秘书处、全国专业标准化工作组（组长单位或牵头单位）、地方专业标准化技术委员会秘书处工作的单位，分别给予每项50万元、30万元、20万元和10万元奖励。</w:t>
      </w:r>
    </w:p>
    <w:p w14:paraId="4F833BE0">
      <w:pPr>
        <w:spacing w:line="560" w:lineRule="exact"/>
        <w:ind w:firstLine="603" w:firstLineChars="200"/>
        <w:rPr>
          <w:rStyle w:val="8"/>
          <w:rFonts w:hint="default" w:ascii="Times New Roman" w:hAnsi="Times New Roman"/>
          <w:color w:val="FF0000"/>
          <w:u w:val="single"/>
        </w:rPr>
      </w:pPr>
      <w:r>
        <w:rPr>
          <w:rFonts w:hint="eastAsia" w:ascii="Times New Roman" w:hAnsi="Times New Roman" w:eastAsia="楷体_GB2312"/>
          <w:b/>
          <w:bCs/>
          <w:color w:val="000000" w:themeColor="text1"/>
          <w:spacing w:val="-10"/>
          <w:sz w:val="32"/>
          <w:szCs w:val="32"/>
          <w:shd w:val="clear" w:color="auto" w:fill="FFFFFF"/>
          <w:lang w:val="en-US" w:eastAsia="zh-CN"/>
          <w14:textFill>
            <w14:solidFill>
              <w14:schemeClr w14:val="tx1"/>
            </w14:solidFill>
          </w14:textFill>
        </w:rPr>
        <w:t>28</w:t>
      </w: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.加快标准化服务机构、综合服务平台的培育。</w:t>
      </w:r>
      <w:r>
        <w:rPr>
          <w:rFonts w:ascii="Times New Roman" w:hAnsi="Times New Roman" w:eastAsia="仿宋_GB2312"/>
          <w:spacing w:val="-10"/>
          <w:sz w:val="32"/>
          <w:szCs w:val="32"/>
        </w:rPr>
        <w:t>对服务我区企事业单位的标准化服务机构，开展标准化活动且</w:t>
      </w:r>
      <w:r>
        <w:rPr>
          <w:rFonts w:hint="eastAsia" w:ascii="Times New Roman" w:hAnsi="Times New Roman" w:eastAsia="仿宋_GB2312"/>
          <w:spacing w:val="-10"/>
          <w:sz w:val="32"/>
          <w:szCs w:val="32"/>
          <w:lang w:val="en-US" w:eastAsia="zh-CN"/>
        </w:rPr>
        <w:t>经评审</w:t>
      </w:r>
      <w:r>
        <w:rPr>
          <w:rFonts w:ascii="Times New Roman" w:hAnsi="Times New Roman" w:eastAsia="仿宋_GB2312"/>
          <w:spacing w:val="-10"/>
          <w:sz w:val="32"/>
          <w:szCs w:val="32"/>
        </w:rPr>
        <w:t>成效良好的，给予20万元奖励</w:t>
      </w:r>
      <w:r>
        <w:rPr>
          <w:rFonts w:hint="eastAsia" w:ascii="Times New Roman" w:hAnsi="Times New Roman" w:eastAsia="仿宋_GB2312"/>
          <w:spacing w:val="-10"/>
          <w:sz w:val="32"/>
          <w:szCs w:val="32"/>
          <w:lang w:eastAsia="zh-CN"/>
        </w:rPr>
        <w:t>，</w:t>
      </w:r>
      <w:bookmarkStart w:id="0" w:name="OLE_LINK1"/>
      <w:r>
        <w:rPr>
          <w:rFonts w:hint="eastAsia" w:ascii="Times New Roman" w:hAnsi="Times New Roman" w:eastAsia="仿宋_GB2312"/>
          <w:spacing w:val="-10"/>
          <w:sz w:val="32"/>
          <w:szCs w:val="32"/>
          <w:lang w:val="en-US" w:eastAsia="zh-CN"/>
        </w:rPr>
        <w:t>每年不超过3家</w:t>
      </w:r>
      <w:bookmarkEnd w:id="0"/>
      <w:r>
        <w:rPr>
          <w:rFonts w:hint="eastAsia" w:ascii="Times New Roman" w:hAnsi="Times New Roman" w:eastAsia="仿宋_GB2312"/>
          <w:spacing w:val="-10"/>
          <w:sz w:val="32"/>
          <w:szCs w:val="32"/>
          <w:lang w:val="en-US" w:eastAsia="zh-CN"/>
        </w:rPr>
        <w:t>。</w:t>
      </w:r>
      <w:r>
        <w:rPr>
          <w:rFonts w:ascii="Times New Roman" w:hAnsi="Times New Roman" w:eastAsia="仿宋_GB2312"/>
          <w:spacing w:val="-10"/>
          <w:sz w:val="32"/>
          <w:szCs w:val="32"/>
        </w:rPr>
        <w:t>对为区内企事业单位提供国内外标准信息、技术壁垒预警信息、标准研制指导、标准体系构建等服务的标准化综合服务平台，</w:t>
      </w:r>
      <w:r>
        <w:rPr>
          <w:rFonts w:hint="eastAsia" w:ascii="Times New Roman" w:hAnsi="Times New Roman" w:eastAsia="仿宋_GB2312"/>
          <w:spacing w:val="-10"/>
          <w:sz w:val="32"/>
          <w:szCs w:val="32"/>
          <w:lang w:val="en-US" w:eastAsia="zh-CN"/>
        </w:rPr>
        <w:t>经评审</w:t>
      </w:r>
      <w:r>
        <w:rPr>
          <w:rFonts w:ascii="Times New Roman" w:hAnsi="Times New Roman" w:eastAsia="仿宋_GB2312"/>
          <w:spacing w:val="-10"/>
          <w:sz w:val="32"/>
          <w:szCs w:val="32"/>
        </w:rPr>
        <w:t>成效良好的</w:t>
      </w:r>
      <w:r>
        <w:rPr>
          <w:rFonts w:hint="eastAsia" w:ascii="Times New Roman" w:hAnsi="Times New Roman" w:eastAsia="仿宋_GB2312"/>
          <w:spacing w:val="-10"/>
          <w:sz w:val="32"/>
          <w:szCs w:val="32"/>
          <w:lang w:eastAsia="zh-CN"/>
        </w:rPr>
        <w:t>，</w:t>
      </w:r>
      <w:r>
        <w:rPr>
          <w:rFonts w:ascii="Times New Roman" w:hAnsi="Times New Roman" w:eastAsia="仿宋_GB2312"/>
          <w:spacing w:val="-10"/>
          <w:sz w:val="32"/>
          <w:szCs w:val="32"/>
        </w:rPr>
        <w:t>给予10万元奖励</w:t>
      </w:r>
      <w:r>
        <w:rPr>
          <w:rFonts w:hint="eastAsia" w:ascii="Times New Roman" w:hAnsi="Times New Roman" w:eastAsia="仿宋_GB2312"/>
          <w:spacing w:val="-10"/>
          <w:sz w:val="32"/>
          <w:szCs w:val="32"/>
          <w:lang w:eastAsia="zh-CN"/>
        </w:rPr>
        <w:t>，</w:t>
      </w:r>
      <w:r>
        <w:rPr>
          <w:rFonts w:hint="eastAsia" w:ascii="Times New Roman" w:hAnsi="Times New Roman" w:eastAsia="仿宋_GB2312"/>
          <w:spacing w:val="-10"/>
          <w:sz w:val="32"/>
          <w:szCs w:val="32"/>
          <w:lang w:val="en-US" w:eastAsia="zh-CN"/>
        </w:rPr>
        <w:t>每年不超过3家</w:t>
      </w:r>
      <w:r>
        <w:rPr>
          <w:rFonts w:ascii="Times New Roman" w:hAnsi="Times New Roman" w:eastAsia="仿宋_GB2312"/>
          <w:spacing w:val="-10"/>
          <w:sz w:val="32"/>
          <w:szCs w:val="32"/>
        </w:rPr>
        <w:t>。对承办国际、国内重大标准化活动的单位，给予10万元奖励。</w:t>
      </w:r>
    </w:p>
    <w:p w14:paraId="279106A2">
      <w:pPr>
        <w:widowControl/>
        <w:spacing w:line="560" w:lineRule="exact"/>
        <w:ind w:firstLine="603" w:firstLineChars="200"/>
        <w:rPr>
          <w:rFonts w:ascii="Times New Roman" w:hAnsi="Times New Roman" w:eastAsia="黑体"/>
          <w:spacing w:val="-10"/>
          <w:sz w:val="32"/>
          <w:szCs w:val="32"/>
        </w:rPr>
      </w:pPr>
      <w:r>
        <w:rPr>
          <w:rFonts w:hint="eastAsia" w:ascii="Times New Roman" w:hAnsi="Times New Roman" w:eastAsia="楷体_GB2312"/>
          <w:b/>
          <w:bCs/>
          <w:color w:val="000000" w:themeColor="text1"/>
          <w:spacing w:val="-10"/>
          <w:sz w:val="32"/>
          <w:szCs w:val="32"/>
          <w:shd w:val="clear" w:color="auto" w:fill="FFFFFF"/>
          <w:lang w:val="en-US" w:eastAsia="zh-CN"/>
          <w14:textFill>
            <w14:solidFill>
              <w14:schemeClr w14:val="tx1"/>
            </w14:solidFill>
          </w14:textFill>
        </w:rPr>
        <w:t>29</w:t>
      </w:r>
      <w:r>
        <w:rPr>
          <w:rFonts w:ascii="Times New Roman" w:hAnsi="Times New Roman" w:eastAsia="楷体_GB2312"/>
          <w:b/>
          <w:bCs/>
          <w:color w:val="000000" w:themeColor="text1"/>
          <w:spacing w:val="-10"/>
          <w:sz w:val="32"/>
          <w:szCs w:val="32"/>
          <w:shd w:val="clear" w:color="auto" w:fill="FFFFFF"/>
          <w14:textFill>
            <w14:solidFill>
              <w14:schemeClr w14:val="tx1"/>
            </w14:solidFill>
          </w14:textFill>
        </w:rPr>
        <w:t>.建设标准化人才高地。</w:t>
      </w:r>
      <w:r>
        <w:rPr>
          <w:rFonts w:ascii="Times New Roman" w:hAnsi="Times New Roman" w:eastAsia="仿宋_GB2312"/>
          <w:spacing w:val="-10"/>
          <w:sz w:val="32"/>
          <w:szCs w:val="32"/>
        </w:rPr>
        <w:t>对担任国际专业标准化技术组织主席（或副主席）、国际专业标准化技术组织注册专家所在的工作单位，分别给予30万元和20万元奖励。对获得中国标准创新贡献奖个人奖的人员，给予5万元奖励；对上级评定的优秀标准化工作者，给予5000元奖励。</w:t>
      </w:r>
    </w:p>
    <w:p w14:paraId="6DFE1848">
      <w:pPr>
        <w:spacing w:line="560" w:lineRule="exact"/>
        <w:ind w:firstLine="600" w:firstLineChars="200"/>
        <w:rPr>
          <w:rFonts w:ascii="Times New Roman" w:hAnsi="Times New Roman" w:eastAsia="黑体"/>
          <w:spacing w:val="-10"/>
          <w:sz w:val="32"/>
          <w:szCs w:val="32"/>
        </w:rPr>
      </w:pPr>
      <w:r>
        <w:rPr>
          <w:rFonts w:ascii="Times New Roman" w:hAnsi="Times New Roman" w:eastAsia="黑体"/>
          <w:spacing w:val="-10"/>
          <w:sz w:val="32"/>
          <w:szCs w:val="32"/>
        </w:rPr>
        <w:t>七、附则</w:t>
      </w:r>
    </w:p>
    <w:p w14:paraId="45A61C18">
      <w:pPr>
        <w:spacing w:line="560" w:lineRule="exact"/>
        <w:ind w:firstLine="600" w:firstLineChars="200"/>
        <w:rPr>
          <w:rFonts w:hint="eastAsia" w:ascii="Times New Roman" w:hAnsi="Times New Roman" w:eastAsia="仿宋_GB2312"/>
          <w:spacing w:val="-10"/>
          <w:sz w:val="32"/>
          <w:szCs w:val="32"/>
          <w:lang w:eastAsia="zh-CN"/>
        </w:rPr>
      </w:pPr>
      <w:r>
        <w:rPr>
          <w:rFonts w:hint="eastAsia" w:ascii="Times New Roman" w:hAnsi="Times New Roman" w:eastAsia="仿宋_GB2312"/>
          <w:spacing w:val="-10"/>
          <w:sz w:val="32"/>
          <w:szCs w:val="32"/>
          <w:lang w:val="en-US" w:eastAsia="zh-CN"/>
        </w:rPr>
        <w:t>30</w:t>
      </w:r>
      <w:r>
        <w:rPr>
          <w:rFonts w:ascii="Times New Roman" w:hAnsi="Times New Roman" w:eastAsia="仿宋_GB2312"/>
          <w:spacing w:val="-10"/>
          <w:sz w:val="32"/>
          <w:szCs w:val="32"/>
        </w:rPr>
        <w:t>.</w:t>
      </w:r>
      <w:r>
        <w:rPr>
          <w:rFonts w:hint="eastAsia" w:ascii="Times New Roman" w:hAnsi="Times New Roman" w:eastAsia="仿宋_GB2312"/>
          <w:spacing w:val="-10"/>
          <w:sz w:val="32"/>
          <w:szCs w:val="32"/>
        </w:rPr>
        <w:t>本措施自印发之日起30日后施行，有效期至2026年12月31日，原《关于促进吴中区知识产权高质量发展若干政策措施意见》</w:t>
      </w:r>
      <w:r>
        <w:rPr>
          <w:rFonts w:hint="eastAsia" w:ascii="Times New Roman" w:hAnsi="Times New Roman" w:eastAsia="仿宋_GB2312"/>
          <w:spacing w:val="-10"/>
          <w:sz w:val="32"/>
          <w:szCs w:val="32"/>
          <w:lang w:eastAsia="zh-CN"/>
        </w:rPr>
        <w:t>（</w:t>
      </w:r>
      <w:r>
        <w:rPr>
          <w:rFonts w:hint="eastAsia" w:ascii="Times New Roman" w:hAnsi="Times New Roman" w:eastAsia="仿宋_GB2312"/>
          <w:spacing w:val="-10"/>
          <w:sz w:val="32"/>
          <w:szCs w:val="32"/>
        </w:rPr>
        <w:t>吴政发〔2021〕</w:t>
      </w:r>
      <w:r>
        <w:rPr>
          <w:rFonts w:hint="eastAsia" w:ascii="Times New Roman" w:hAnsi="Times New Roman" w:eastAsia="仿宋_GB2312"/>
          <w:spacing w:val="-10"/>
          <w:sz w:val="32"/>
          <w:szCs w:val="32"/>
          <w:lang w:val="en-US" w:eastAsia="zh-CN"/>
        </w:rPr>
        <w:t>60</w:t>
      </w:r>
      <w:r>
        <w:rPr>
          <w:rFonts w:hint="eastAsia" w:ascii="Times New Roman" w:hAnsi="Times New Roman" w:eastAsia="仿宋_GB2312"/>
          <w:spacing w:val="-10"/>
          <w:sz w:val="32"/>
          <w:szCs w:val="32"/>
        </w:rPr>
        <w:t>号</w:t>
      </w:r>
      <w:r>
        <w:rPr>
          <w:rFonts w:hint="eastAsia" w:ascii="Times New Roman" w:hAnsi="Times New Roman" w:eastAsia="仿宋_GB2312"/>
          <w:spacing w:val="-10"/>
          <w:sz w:val="32"/>
          <w:szCs w:val="32"/>
          <w:lang w:eastAsia="zh-CN"/>
        </w:rPr>
        <w:t>）废止。</w:t>
      </w:r>
    </w:p>
    <w:p w14:paraId="68095738">
      <w:pPr>
        <w:spacing w:line="560" w:lineRule="exact"/>
        <w:ind w:firstLine="600" w:firstLineChars="200"/>
        <w:rPr>
          <w:rFonts w:hint="eastAsia" w:ascii="Times New Roman" w:hAnsi="Times New Roman" w:eastAsia="仿宋_GB2312"/>
          <w:spacing w:val="-10"/>
          <w:sz w:val="32"/>
          <w:szCs w:val="32"/>
          <w:lang w:eastAsia="zh-CN"/>
        </w:rPr>
      </w:pPr>
      <w:r>
        <w:rPr>
          <w:rFonts w:hint="eastAsia" w:ascii="Times New Roman" w:hAnsi="Times New Roman" w:eastAsia="仿宋_GB2312"/>
          <w:spacing w:val="-10"/>
          <w:sz w:val="32"/>
          <w:szCs w:val="32"/>
          <w:lang w:val="en-US" w:eastAsia="zh-CN"/>
        </w:rPr>
        <w:t>31</w:t>
      </w:r>
      <w:r>
        <w:rPr>
          <w:rFonts w:hint="eastAsia" w:ascii="Times New Roman" w:hAnsi="Times New Roman" w:eastAsia="仿宋_GB2312"/>
          <w:spacing w:val="-10"/>
          <w:sz w:val="32"/>
          <w:szCs w:val="32"/>
        </w:rPr>
        <w:t>.</w:t>
      </w:r>
      <w:r>
        <w:rPr>
          <w:rFonts w:ascii="Times New Roman" w:hAnsi="Times New Roman" w:eastAsia="仿宋_GB2312"/>
          <w:spacing w:val="-10"/>
          <w:sz w:val="32"/>
          <w:szCs w:val="32"/>
        </w:rPr>
        <w:t>本意见资金在区知识产权高质量发展专项资金中列支</w:t>
      </w:r>
      <w:r>
        <w:rPr>
          <w:rFonts w:hint="eastAsia" w:ascii="Times New Roman" w:hAnsi="Times New Roman" w:eastAsia="仿宋_GB2312"/>
          <w:spacing w:val="-10"/>
          <w:sz w:val="32"/>
          <w:szCs w:val="32"/>
          <w:lang w:eastAsia="zh-CN"/>
        </w:rPr>
        <w:t>（第</w:t>
      </w:r>
      <w:r>
        <w:rPr>
          <w:rFonts w:hint="eastAsia" w:ascii="Times New Roman" w:hAnsi="Times New Roman" w:eastAsia="仿宋_GB2312"/>
          <w:spacing w:val="-10"/>
          <w:sz w:val="32"/>
          <w:szCs w:val="32"/>
          <w:lang w:val="en-US" w:eastAsia="zh-CN"/>
        </w:rPr>
        <w:t>18条中对于</w:t>
      </w:r>
      <w:r>
        <w:rPr>
          <w:rFonts w:hint="eastAsia" w:ascii="Times New Roman" w:hAnsi="Times New Roman" w:eastAsia="仿宋_GB2312"/>
          <w:spacing w:val="-10"/>
          <w:sz w:val="32"/>
          <w:szCs w:val="32"/>
        </w:rPr>
        <w:t>姑苏特聘人</w:t>
      </w:r>
      <w:r>
        <w:rPr>
          <w:rFonts w:hint="eastAsia" w:ascii="Times New Roman" w:hAnsi="Times New Roman" w:eastAsia="仿宋_GB2312"/>
          <w:spacing w:val="-10"/>
          <w:sz w:val="32"/>
          <w:szCs w:val="32"/>
          <w:lang w:eastAsia="zh-CN"/>
        </w:rPr>
        <w:t>才的奖励由人才专项经费列支）</w:t>
      </w:r>
      <w:r>
        <w:rPr>
          <w:rFonts w:ascii="Times New Roman" w:hAnsi="Times New Roman" w:eastAsia="仿宋_GB2312"/>
          <w:spacing w:val="-10"/>
          <w:sz w:val="32"/>
          <w:szCs w:val="32"/>
        </w:rPr>
        <w:t>。</w:t>
      </w:r>
      <w:r>
        <w:rPr>
          <w:rFonts w:hint="eastAsia" w:ascii="Times New Roman" w:hAnsi="Times New Roman" w:eastAsia="仿宋_GB2312"/>
          <w:spacing w:val="-10"/>
          <w:sz w:val="32"/>
          <w:szCs w:val="32"/>
        </w:rPr>
        <w:t>所需资金按现行财政体制由区、镇</w:t>
      </w:r>
      <w:r>
        <w:rPr>
          <w:rFonts w:hint="eastAsia" w:ascii="Times New Roman" w:hAnsi="Times New Roman" w:eastAsia="仿宋_GB2312"/>
          <w:spacing w:val="-10"/>
          <w:sz w:val="32"/>
          <w:szCs w:val="32"/>
          <w:lang w:eastAsia="zh-CN"/>
        </w:rPr>
        <w:t>（</w:t>
      </w:r>
      <w:r>
        <w:rPr>
          <w:rFonts w:hint="eastAsia" w:ascii="Times New Roman" w:hAnsi="Times New Roman" w:eastAsia="仿宋_GB2312"/>
          <w:spacing w:val="-10"/>
          <w:sz w:val="32"/>
          <w:szCs w:val="32"/>
        </w:rPr>
        <w:t>开发区、太湖新城</w:t>
      </w:r>
      <w:r>
        <w:rPr>
          <w:rFonts w:hint="eastAsia" w:ascii="Times New Roman" w:hAnsi="Times New Roman" w:eastAsia="仿宋_GB2312"/>
          <w:spacing w:val="-10"/>
          <w:sz w:val="32"/>
          <w:szCs w:val="32"/>
          <w:lang w:eastAsia="zh-CN"/>
        </w:rPr>
        <w:t>）</w:t>
      </w:r>
      <w:r>
        <w:rPr>
          <w:rFonts w:hint="eastAsia" w:ascii="Times New Roman" w:hAnsi="Times New Roman" w:eastAsia="仿宋_GB2312"/>
          <w:spacing w:val="-10"/>
          <w:sz w:val="32"/>
          <w:szCs w:val="32"/>
        </w:rPr>
        <w:t>按4</w:t>
      </w:r>
      <w:r>
        <w:rPr>
          <w:rFonts w:hint="eastAsia" w:ascii="Times New Roman" w:hAnsi="Times New Roman" w:eastAsia="仿宋_GB2312"/>
          <w:spacing w:val="-10"/>
          <w:sz w:val="32"/>
          <w:szCs w:val="32"/>
          <w:lang w:eastAsia="zh-CN"/>
        </w:rPr>
        <w:t>：</w:t>
      </w:r>
      <w:r>
        <w:rPr>
          <w:rFonts w:hint="eastAsia" w:ascii="Times New Roman" w:hAnsi="Times New Roman" w:eastAsia="仿宋_GB2312"/>
          <w:spacing w:val="-10"/>
          <w:sz w:val="32"/>
          <w:szCs w:val="32"/>
        </w:rPr>
        <w:t>6分担。区级补助资金下达各板块后，由属地具体负责兑付</w:t>
      </w:r>
      <w:r>
        <w:rPr>
          <w:rFonts w:hint="eastAsia" w:ascii="Times New Roman" w:hAnsi="Times New Roman" w:eastAsia="仿宋_GB2312"/>
          <w:spacing w:val="-10"/>
          <w:sz w:val="32"/>
          <w:szCs w:val="32"/>
          <w:lang w:eastAsia="zh-CN"/>
        </w:rPr>
        <w:t>。</w:t>
      </w:r>
    </w:p>
    <w:p w14:paraId="4908ADDD">
      <w:pPr>
        <w:spacing w:line="560" w:lineRule="exact"/>
        <w:ind w:firstLine="600" w:firstLineChars="200"/>
        <w:rPr>
          <w:rFonts w:hint="eastAsia" w:ascii="Times New Roman" w:hAnsi="Times New Roman" w:eastAsia="仿宋_GB2312"/>
          <w:spacing w:val="-10"/>
          <w:sz w:val="32"/>
          <w:szCs w:val="32"/>
          <w:lang w:eastAsia="zh-CN"/>
        </w:rPr>
      </w:pPr>
      <w:r>
        <w:rPr>
          <w:rFonts w:hint="eastAsia" w:ascii="Times New Roman" w:hAnsi="Times New Roman" w:eastAsia="仿宋_GB2312"/>
          <w:spacing w:val="-10"/>
          <w:sz w:val="32"/>
          <w:szCs w:val="32"/>
          <w:lang w:val="en-US" w:eastAsia="zh-CN"/>
        </w:rPr>
        <w:t>32.</w:t>
      </w:r>
      <w:r>
        <w:rPr>
          <w:rFonts w:ascii="Times New Roman" w:hAnsi="Times New Roman" w:eastAsia="仿宋_GB2312"/>
          <w:spacing w:val="-10"/>
          <w:sz w:val="32"/>
          <w:szCs w:val="32"/>
        </w:rPr>
        <w:t>本意见由区政府负责解释，区市场监督管理局、区财政局承担具体的解释工作</w:t>
      </w:r>
      <w:r>
        <w:rPr>
          <w:rFonts w:hint="eastAsia" w:ascii="Times New Roman" w:hAnsi="Times New Roman" w:eastAsia="仿宋_GB2312"/>
          <w:spacing w:val="-10"/>
          <w:sz w:val="32"/>
          <w:szCs w:val="32"/>
          <w:lang w:eastAsia="zh-CN"/>
        </w:rPr>
        <w:t>。</w:t>
      </w:r>
      <w:r>
        <w:rPr>
          <w:rFonts w:hint="eastAsia" w:ascii="Times New Roman" w:hAnsi="Times New Roman" w:eastAsia="仿宋_GB2312"/>
          <w:spacing w:val="-10"/>
          <w:sz w:val="32"/>
          <w:szCs w:val="32"/>
        </w:rPr>
        <w:t>对于已经依据市、区其他政策措施获得过资金奖励的项目</w:t>
      </w:r>
      <w:r>
        <w:rPr>
          <w:rFonts w:hint="eastAsia" w:ascii="Times New Roman" w:hAnsi="Times New Roman" w:eastAsia="仿宋_GB2312"/>
          <w:spacing w:val="-10"/>
          <w:sz w:val="32"/>
          <w:szCs w:val="32"/>
          <w:lang w:eastAsia="zh-CN"/>
        </w:rPr>
        <w:t>，</w:t>
      </w:r>
      <w:r>
        <w:rPr>
          <w:rFonts w:hint="eastAsia" w:ascii="Times New Roman" w:hAnsi="Times New Roman" w:eastAsia="仿宋_GB2312"/>
          <w:spacing w:val="-10"/>
          <w:sz w:val="32"/>
          <w:szCs w:val="32"/>
        </w:rPr>
        <w:t>以及符合本措施多条规定的同一项目同一事项，按就高不叠加原则予以支持</w:t>
      </w:r>
      <w:r>
        <w:rPr>
          <w:rFonts w:hint="eastAsia" w:ascii="Times New Roman" w:hAnsi="Times New Roman" w:eastAsia="仿宋_GB2312"/>
          <w:spacing w:val="-10"/>
          <w:sz w:val="32"/>
          <w:szCs w:val="32"/>
          <w:lang w:eastAsia="zh-CN"/>
        </w:rPr>
        <w:t>。</w:t>
      </w:r>
      <w:r>
        <w:rPr>
          <w:rFonts w:hint="eastAsia" w:ascii="Times New Roman" w:hAnsi="Times New Roman" w:eastAsia="仿宋_GB2312"/>
          <w:spacing w:val="-10"/>
          <w:sz w:val="32"/>
          <w:szCs w:val="32"/>
        </w:rPr>
        <w:t>相关政策若遇上级政策调整，则按上级要求执行</w:t>
      </w:r>
      <w:r>
        <w:rPr>
          <w:rFonts w:hint="eastAsia" w:ascii="Times New Roman" w:hAnsi="Times New Roman" w:eastAsia="仿宋_GB2312"/>
          <w:spacing w:val="-10"/>
          <w:sz w:val="32"/>
          <w:szCs w:val="32"/>
          <w:lang w:eastAsia="zh-CN"/>
        </w:rPr>
        <w:t>。</w:t>
      </w:r>
    </w:p>
    <w:p w14:paraId="5FA2ED43">
      <w:pPr>
        <w:rPr>
          <w:rFonts w:ascii="Times New Roman" w:hAnsi="Times New Roman"/>
        </w:rPr>
      </w:pPr>
    </w:p>
    <w:sectPr>
      <w:footerReference r:id="rId3" w:type="default"/>
      <w:pgSz w:w="11906" w:h="16838"/>
      <w:pgMar w:top="1984" w:right="1701" w:bottom="1701" w:left="1701" w:header="851" w:footer="153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CD0D1">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9E487AE">
                          <w:pPr>
                            <w:pStyle w:val="3"/>
                            <w:jc w:val="center"/>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6</w:t>
                          </w:r>
                          <w:r>
                            <w:rPr>
                              <w:rFonts w:ascii="Times New Roman" w:hAnsi="Times New Roman"/>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CUJ8kWxgEAAJsDAAAOAAAAAAAAAAEAIAAAAB4BAABkcnMvZTJvRG9jLnht&#10;bFBLBQYAAAAABgAGAFkBAABWBQAAAAA=&#10;">
              <v:fill on="f" focussize="0,0"/>
              <v:stroke on="f"/>
              <v:imagedata o:title=""/>
              <o:lock v:ext="edit" aspectratio="f"/>
              <v:textbox inset="0mm,0mm,0mm,0mm" style="mso-fit-shape-to-text:t;">
                <w:txbxContent>
                  <w:p w14:paraId="09E487AE">
                    <w:pPr>
                      <w:pStyle w:val="3"/>
                      <w:jc w:val="center"/>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6</w:t>
                    </w:r>
                    <w:r>
                      <w:rPr>
                        <w:rFonts w:ascii="Times New Roman" w:hAnsi="Times New Roman"/>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dmM2Q0YjA5MDQ5ZDk5NTk5Njk3M2Y2ZjA3MTYwMTcifQ=="/>
  </w:docVars>
  <w:rsids>
    <w:rsidRoot w:val="172563FA"/>
    <w:rsid w:val="000208C6"/>
    <w:rsid w:val="000245B7"/>
    <w:rsid w:val="00036A39"/>
    <w:rsid w:val="00052001"/>
    <w:rsid w:val="00064618"/>
    <w:rsid w:val="000A1CF6"/>
    <w:rsid w:val="000D338C"/>
    <w:rsid w:val="00147C78"/>
    <w:rsid w:val="0016038C"/>
    <w:rsid w:val="001834EE"/>
    <w:rsid w:val="00183A6F"/>
    <w:rsid w:val="00185552"/>
    <w:rsid w:val="001D15E0"/>
    <w:rsid w:val="00292E39"/>
    <w:rsid w:val="002E5B81"/>
    <w:rsid w:val="003657E0"/>
    <w:rsid w:val="003912D9"/>
    <w:rsid w:val="003F7A64"/>
    <w:rsid w:val="004014BB"/>
    <w:rsid w:val="00476B95"/>
    <w:rsid w:val="004E195E"/>
    <w:rsid w:val="004F3EF2"/>
    <w:rsid w:val="00572D38"/>
    <w:rsid w:val="005822E7"/>
    <w:rsid w:val="005F6529"/>
    <w:rsid w:val="006101ED"/>
    <w:rsid w:val="00614790"/>
    <w:rsid w:val="00635637"/>
    <w:rsid w:val="00643463"/>
    <w:rsid w:val="00651D82"/>
    <w:rsid w:val="006B0FAF"/>
    <w:rsid w:val="006C2ED9"/>
    <w:rsid w:val="007343B7"/>
    <w:rsid w:val="00795A6D"/>
    <w:rsid w:val="007A7D3C"/>
    <w:rsid w:val="00842AD7"/>
    <w:rsid w:val="00886E7D"/>
    <w:rsid w:val="00911B58"/>
    <w:rsid w:val="00942B28"/>
    <w:rsid w:val="0096199A"/>
    <w:rsid w:val="00986407"/>
    <w:rsid w:val="009A3F21"/>
    <w:rsid w:val="009C7148"/>
    <w:rsid w:val="00A2725B"/>
    <w:rsid w:val="00A314BE"/>
    <w:rsid w:val="00A72405"/>
    <w:rsid w:val="00A73487"/>
    <w:rsid w:val="00AC0CD1"/>
    <w:rsid w:val="00AD6BC3"/>
    <w:rsid w:val="00AF1EE5"/>
    <w:rsid w:val="00B61D01"/>
    <w:rsid w:val="00B728C4"/>
    <w:rsid w:val="00B7489A"/>
    <w:rsid w:val="00B9433B"/>
    <w:rsid w:val="00BA42CF"/>
    <w:rsid w:val="00BB307E"/>
    <w:rsid w:val="00BB7181"/>
    <w:rsid w:val="00BC697A"/>
    <w:rsid w:val="00CE47DD"/>
    <w:rsid w:val="00D13383"/>
    <w:rsid w:val="00D22A02"/>
    <w:rsid w:val="00D511B6"/>
    <w:rsid w:val="00D51EF3"/>
    <w:rsid w:val="00D73A43"/>
    <w:rsid w:val="00DA16E5"/>
    <w:rsid w:val="00DA1AE7"/>
    <w:rsid w:val="00DE17D5"/>
    <w:rsid w:val="00DF0C5A"/>
    <w:rsid w:val="00E12446"/>
    <w:rsid w:val="00E20573"/>
    <w:rsid w:val="00E54389"/>
    <w:rsid w:val="00EA1E25"/>
    <w:rsid w:val="00EF2A06"/>
    <w:rsid w:val="00EF4C4E"/>
    <w:rsid w:val="00F41835"/>
    <w:rsid w:val="00FB0B89"/>
    <w:rsid w:val="03D66BA6"/>
    <w:rsid w:val="05285D08"/>
    <w:rsid w:val="05FE3860"/>
    <w:rsid w:val="07C54818"/>
    <w:rsid w:val="08041151"/>
    <w:rsid w:val="091D7025"/>
    <w:rsid w:val="162A28A4"/>
    <w:rsid w:val="172563FA"/>
    <w:rsid w:val="177B1AE6"/>
    <w:rsid w:val="19C05ED6"/>
    <w:rsid w:val="19EF621A"/>
    <w:rsid w:val="1A6B5E42"/>
    <w:rsid w:val="1AAE1819"/>
    <w:rsid w:val="1AB15345"/>
    <w:rsid w:val="1BD05DFB"/>
    <w:rsid w:val="1CEE08EA"/>
    <w:rsid w:val="23493A34"/>
    <w:rsid w:val="25E87C00"/>
    <w:rsid w:val="266F41B8"/>
    <w:rsid w:val="30451288"/>
    <w:rsid w:val="321B7B63"/>
    <w:rsid w:val="37735977"/>
    <w:rsid w:val="37D5312C"/>
    <w:rsid w:val="39225E0E"/>
    <w:rsid w:val="39BD398D"/>
    <w:rsid w:val="3A7641F6"/>
    <w:rsid w:val="3B830F21"/>
    <w:rsid w:val="3E3B628C"/>
    <w:rsid w:val="3E844CB9"/>
    <w:rsid w:val="4021297B"/>
    <w:rsid w:val="42267415"/>
    <w:rsid w:val="42F356A5"/>
    <w:rsid w:val="43422529"/>
    <w:rsid w:val="45C344E4"/>
    <w:rsid w:val="4AEF1A7C"/>
    <w:rsid w:val="4EDB104F"/>
    <w:rsid w:val="4F147B4F"/>
    <w:rsid w:val="51383FC9"/>
    <w:rsid w:val="52770B21"/>
    <w:rsid w:val="530B10AE"/>
    <w:rsid w:val="54D029B2"/>
    <w:rsid w:val="55EE7B62"/>
    <w:rsid w:val="562C2296"/>
    <w:rsid w:val="57BE1BDC"/>
    <w:rsid w:val="59A26A9D"/>
    <w:rsid w:val="5C216AB1"/>
    <w:rsid w:val="5C387570"/>
    <w:rsid w:val="5D403A54"/>
    <w:rsid w:val="5D983984"/>
    <w:rsid w:val="614B4ACA"/>
    <w:rsid w:val="618F68F6"/>
    <w:rsid w:val="621023F8"/>
    <w:rsid w:val="62AE66F6"/>
    <w:rsid w:val="631A352E"/>
    <w:rsid w:val="63734519"/>
    <w:rsid w:val="6788698E"/>
    <w:rsid w:val="68E625B7"/>
    <w:rsid w:val="69A10971"/>
    <w:rsid w:val="6ABA76A8"/>
    <w:rsid w:val="6B0930BA"/>
    <w:rsid w:val="6B1C6F6D"/>
    <w:rsid w:val="6C801107"/>
    <w:rsid w:val="6F2D6698"/>
    <w:rsid w:val="723F5FEE"/>
    <w:rsid w:val="76F63FC0"/>
    <w:rsid w:val="7AF035D6"/>
    <w:rsid w:val="7DBD3E0B"/>
    <w:rsid w:val="7FA73CE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qFormat/>
    <w:uiPriority w:val="0"/>
  </w:style>
  <w:style w:type="character" w:customStyle="1" w:styleId="8">
    <w:name w:val="fontstyle01"/>
    <w:autoRedefine/>
    <w:qFormat/>
    <w:uiPriority w:val="0"/>
    <w:rPr>
      <w:rFonts w:hint="eastAsia" w:ascii="仿宋_GB2312" w:eastAsia="仿宋_GB2312"/>
      <w:color w:val="000000"/>
      <w:sz w:val="32"/>
      <w:szCs w:val="32"/>
    </w:rPr>
  </w:style>
  <w:style w:type="character" w:customStyle="1" w:styleId="9">
    <w:name w:val="页眉 Char"/>
    <w:basedOn w:val="6"/>
    <w:link w:val="4"/>
    <w:qFormat/>
    <w:uiPriority w:val="0"/>
    <w:rPr>
      <w:rFonts w:ascii="Calibri" w:hAnsi="Calibri" w:eastAsia="宋体" w:cs="Times New Roman"/>
      <w:kern w:val="2"/>
      <w:sz w:val="18"/>
      <w:szCs w:val="18"/>
    </w:rPr>
  </w:style>
  <w:style w:type="character" w:customStyle="1" w:styleId="10">
    <w:name w:val="批注框文本 Char"/>
    <w:basedOn w:val="6"/>
    <w:link w:val="2"/>
    <w:qFormat/>
    <w:uiPriority w:val="0"/>
    <w:rPr>
      <w:rFonts w:ascii="Calibri" w:hAnsi="Calibri" w:eastAsia="宋体" w:cs="Times New Roman"/>
      <w:kern w:val="2"/>
      <w:sz w:val="18"/>
      <w:szCs w:val="18"/>
    </w:rPr>
  </w:style>
  <w:style w:type="character" w:customStyle="1" w:styleId="11">
    <w:name w:val="dash6b63_6587__char1"/>
    <w:qFormat/>
    <w:uiPriority w:val="0"/>
    <w:rPr>
      <w:rFonts w:hint="default" w:ascii="Times New Roman" w:hAnsi="Times New Roman" w:cs="Times New Roman"/>
      <w:sz w:val="32"/>
      <w:szCs w:val="3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F50F41-6802-4AA0-A610-07AB67524B7C}">
  <ds:schemaRefs/>
</ds:datastoreItem>
</file>

<file path=docProps/app.xml><?xml version="1.0" encoding="utf-8"?>
<Properties xmlns="http://schemas.openxmlformats.org/officeDocument/2006/extended-properties" xmlns:vt="http://schemas.openxmlformats.org/officeDocument/2006/docPropsVTypes">
  <Template>Normal</Template>
  <Pages>9</Pages>
  <Words>4944</Words>
  <Characters>5263</Characters>
  <Lines>36</Lines>
  <Paragraphs>10</Paragraphs>
  <TotalTime>1</TotalTime>
  <ScaleCrop>false</ScaleCrop>
  <LinksUpToDate>false</LinksUpToDate>
  <CharactersWithSpaces>5264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2024-04-22T07:15:00Z</dcterms:created>
  <dc:creator>kulala沫沫（≧∇≦）</dc:creator>
  <cp:lastModifiedBy>鄦</cp:lastModifiedBy>
  <cp:lastPrinted>2024-12-26T00:49:00Z</cp:lastPrinted>
  <dcterms:modified xsi:type="dcterms:W3CDTF">2025-02-26T08:58:05Z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BA1F215341884A2DACCDE0CABD011B5F_13</vt:lpwstr>
  </property>
  <property fmtid="{D5CDD505-2E9C-101B-9397-08002B2CF9AE}" pid="4" name="KSOTemplateDocerSaveRecord">
    <vt:lpwstr>eyJoZGlkIjoiZjAwOGI1YjMzNDUwMWI3NjFiMDgyYzFhYWFlNTU4NmQiLCJ1c2VySWQiOiI2MjUwNjE3MDQifQ==</vt:lpwstr>
  </property>
</Properties>
</file>