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7B2A4"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OLE_LINK30"/>
      <w:bookmarkStart w:id="1" w:name="OLE_LINK29"/>
      <w:bookmarkStart w:id="2" w:name="OLE_LINK27"/>
      <w:bookmarkStart w:id="55" w:name="_GoBack"/>
      <w:r>
        <w:rPr>
          <w:rFonts w:eastAsia="方正小标宋简体"/>
          <w:sz w:val="44"/>
          <w:szCs w:val="44"/>
        </w:rPr>
        <w:t>吴中区人力资源和社会保障局</w:t>
      </w:r>
    </w:p>
    <w:p w14:paraId="2274845F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关于2025年法治政府建设情况的报告</w:t>
      </w:r>
    </w:p>
    <w:bookmarkEnd w:id="55"/>
    <w:p w14:paraId="053482E2">
      <w:pPr>
        <w:spacing w:before="312" w:beforeLines="100" w:line="560" w:lineRule="exact"/>
        <w:ind w:firstLine="624" w:firstLineChars="200"/>
        <w:rPr>
          <w:rFonts w:eastAsia="仿宋_GB2312"/>
          <w:color w:val="000000"/>
          <w:spacing w:val="-4"/>
          <w:sz w:val="32"/>
          <w:szCs w:val="32"/>
        </w:rPr>
      </w:pPr>
      <w:bookmarkStart w:id="3" w:name="OLE_LINK17"/>
      <w:bookmarkStart w:id="4" w:name="OLE_LINK16"/>
      <w:bookmarkStart w:id="5" w:name="OLE_LINK35"/>
      <w:bookmarkStart w:id="6" w:name="OLE_LINK34"/>
      <w:bookmarkStart w:id="7" w:name="OLE_LINK37"/>
      <w:bookmarkStart w:id="8" w:name="OLE_LINK36"/>
      <w:bookmarkStart w:id="9" w:name="OLE_LINK31"/>
      <w:r>
        <w:rPr>
          <w:rFonts w:eastAsia="仿宋_GB2312"/>
          <w:color w:val="000000"/>
          <w:spacing w:val="-4"/>
          <w:kern w:val="0"/>
          <w:sz w:val="32"/>
          <w:szCs w:val="32"/>
        </w:rPr>
        <w:t>2025年是“十四五”规划实施收官之年，亦是衔接“十五五”规划谋篇布局的</w:t>
      </w:r>
      <w:bookmarkStart w:id="10" w:name="OLE_LINK8"/>
      <w:bookmarkStart w:id="11" w:name="OLE_LINK7"/>
      <w:r>
        <w:rPr>
          <w:rFonts w:eastAsia="仿宋_GB2312"/>
          <w:color w:val="000000"/>
          <w:spacing w:val="-4"/>
          <w:kern w:val="0"/>
          <w:sz w:val="32"/>
          <w:szCs w:val="32"/>
        </w:rPr>
        <w:t>关</w:t>
      </w:r>
      <w:bookmarkEnd w:id="10"/>
      <w:bookmarkEnd w:id="11"/>
      <w:r>
        <w:rPr>
          <w:rFonts w:eastAsia="仿宋_GB2312"/>
          <w:color w:val="000000"/>
          <w:spacing w:val="-4"/>
          <w:kern w:val="0"/>
          <w:sz w:val="32"/>
          <w:szCs w:val="32"/>
        </w:rPr>
        <w:t>键节点。</w:t>
      </w:r>
      <w:bookmarkEnd w:id="3"/>
      <w:bookmarkEnd w:id="4"/>
      <w:r>
        <w:rPr>
          <w:rFonts w:eastAsia="仿宋_GB2312"/>
          <w:sz w:val="32"/>
          <w:szCs w:val="32"/>
        </w:rPr>
        <w:t>全年以来，</w:t>
      </w:r>
      <w:bookmarkStart w:id="12" w:name="OLE_LINK1"/>
      <w:r>
        <w:rPr>
          <w:rFonts w:eastAsia="仿宋_GB2312"/>
          <w:sz w:val="32"/>
          <w:szCs w:val="32"/>
        </w:rPr>
        <w:t>我局在区委、区政府的坚强领导下，以习近平法治思想为根本遵循，全面贯彻中央全面依法治国工作会议精神，严格落实</w:t>
      </w:r>
      <w:bookmarkEnd w:id="5"/>
      <w:bookmarkEnd w:id="6"/>
      <w:r>
        <w:rPr>
          <w:rFonts w:eastAsia="仿宋_GB2312"/>
          <w:sz w:val="32"/>
          <w:szCs w:val="32"/>
        </w:rPr>
        <w:t>区政府法治政府建设工作要点部署，</w:t>
      </w:r>
      <w:bookmarkEnd w:id="12"/>
      <w:r>
        <w:rPr>
          <w:rFonts w:eastAsia="仿宋_GB2312"/>
          <w:sz w:val="32"/>
          <w:szCs w:val="32"/>
        </w:rPr>
        <w:t>将法治思维和法治方式贯穿人社工作全过程，稳步推进法治人社建设，各项工作取得阶段性成效</w:t>
      </w:r>
      <w:bookmarkEnd w:id="7"/>
      <w:bookmarkEnd w:id="8"/>
      <w:r>
        <w:rPr>
          <w:rFonts w:eastAsia="仿宋_GB2312"/>
          <w:color w:val="000000"/>
          <w:spacing w:val="-4"/>
          <w:sz w:val="32"/>
          <w:szCs w:val="32"/>
        </w:rPr>
        <w:t>。</w:t>
      </w:r>
    </w:p>
    <w:bookmarkEnd w:id="9"/>
    <w:p w14:paraId="73D7C9FD">
      <w:pPr>
        <w:spacing w:line="560" w:lineRule="exact"/>
        <w:ind w:firstLine="624" w:firstLineChars="200"/>
        <w:rPr>
          <w:rFonts w:eastAsia="黑体"/>
          <w:spacing w:val="-4"/>
          <w:kern w:val="0"/>
          <w:sz w:val="32"/>
          <w:szCs w:val="32"/>
        </w:rPr>
      </w:pPr>
      <w:r>
        <w:rPr>
          <w:rFonts w:eastAsia="黑体"/>
          <w:spacing w:val="-4"/>
          <w:kern w:val="0"/>
          <w:sz w:val="32"/>
          <w:szCs w:val="32"/>
        </w:rPr>
        <w:t>一、坚持以习近平法治思想为引领，筑牢法治人社建设根基</w:t>
      </w:r>
    </w:p>
    <w:p w14:paraId="68FD6193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（一）深学细悟习近平法治思想</w:t>
      </w:r>
    </w:p>
    <w:p w14:paraId="00BFA6CB">
      <w:pPr>
        <w:spacing w:line="560" w:lineRule="exact"/>
        <w:ind w:firstLine="624" w:firstLineChars="200"/>
        <w:rPr>
          <w:rFonts w:eastAsia="仿宋_GB2312"/>
          <w:color w:val="000000"/>
          <w:spacing w:val="-4"/>
          <w:kern w:val="0"/>
          <w:sz w:val="32"/>
          <w:szCs w:val="32"/>
        </w:rPr>
      </w:pPr>
      <w:bookmarkStart w:id="13" w:name="OLE_LINK33"/>
      <w:bookmarkStart w:id="14" w:name="OLE_LINK32"/>
      <w:r>
        <w:rPr>
          <w:rFonts w:eastAsia="仿宋_GB2312"/>
          <w:color w:val="000000"/>
          <w:spacing w:val="-4"/>
          <w:kern w:val="0"/>
          <w:sz w:val="32"/>
          <w:szCs w:val="32"/>
        </w:rPr>
        <w:t>始终把学习贯彻习近平法治思想作为重大政治任务，不断提高政治站位，通过多样化学习形式推动思想入脑入心。充分发挥局党组理论学习中心组领学促学作用，定期组织集体学习研讨；开展事业单位新招录人员入职培训、中青年干部专题培训，实现法治教育全覆盖，引导全体</w:t>
      </w:r>
      <w:bookmarkEnd w:id="13"/>
      <w:bookmarkEnd w:id="14"/>
      <w:r>
        <w:rPr>
          <w:rFonts w:eastAsia="仿宋_GB2312"/>
          <w:color w:val="000000"/>
          <w:spacing w:val="-4"/>
          <w:kern w:val="0"/>
          <w:sz w:val="32"/>
          <w:szCs w:val="32"/>
        </w:rPr>
        <w:t>干部职工自觉以习近平法治思想武装头脑、指导实践、推动工作。</w:t>
      </w:r>
    </w:p>
    <w:p w14:paraId="3AD93C10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（二）压实法治建设第一责任人职责</w:t>
      </w:r>
    </w:p>
    <w:p w14:paraId="0F2D22D0">
      <w:pPr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bookmarkStart w:id="15" w:name="OLE_LINK39"/>
      <w:bookmarkStart w:id="16" w:name="OLE_LINK38"/>
      <w:r>
        <w:rPr>
          <w:rFonts w:eastAsia="仿宋_GB2312"/>
          <w:spacing w:val="-4"/>
          <w:kern w:val="0"/>
          <w:sz w:val="32"/>
          <w:szCs w:val="32"/>
        </w:rPr>
        <w:t>局主要负责同志严格履行推进法治政府建设第一责任人职责，坚持“重要工作亲自部署、重大问题亲自过问、重点环节亲自协调、重要任务亲自督办”，将人社各项业务全面纳入法治化轨道。严格执行科学民主依法决策机制，“三重一大”事项均按规定提交局党组会集体讨论决定</w:t>
      </w:r>
      <w:bookmarkStart w:id="17" w:name="OLE_LINK10"/>
      <w:bookmarkStart w:id="18" w:name="OLE_LINK9"/>
      <w:r>
        <w:rPr>
          <w:rFonts w:eastAsia="仿宋_GB2312"/>
          <w:spacing w:val="-4"/>
          <w:kern w:val="0"/>
          <w:sz w:val="32"/>
          <w:szCs w:val="32"/>
        </w:rPr>
        <w:t>。</w:t>
      </w:r>
      <w:bookmarkEnd w:id="17"/>
      <w:bookmarkEnd w:id="18"/>
      <w:r>
        <w:rPr>
          <w:rFonts w:eastAsia="仿宋_GB2312"/>
          <w:spacing w:val="-4"/>
          <w:kern w:val="0"/>
          <w:sz w:val="32"/>
          <w:szCs w:val="32"/>
        </w:rPr>
        <w:t>年初部署</w:t>
      </w:r>
      <w:bookmarkStart w:id="19" w:name="OLE_LINK12"/>
      <w:bookmarkStart w:id="20" w:name="OLE_LINK11"/>
      <w:r>
        <w:rPr>
          <w:rFonts w:eastAsia="仿宋_GB2312"/>
          <w:spacing w:val="-4"/>
          <w:kern w:val="0"/>
          <w:sz w:val="32"/>
          <w:szCs w:val="32"/>
        </w:rPr>
        <w:t>全系统学习贯彻习近平法治思想工作，明确</w:t>
      </w:r>
      <w:bookmarkEnd w:id="19"/>
      <w:bookmarkEnd w:id="20"/>
      <w:r>
        <w:rPr>
          <w:rFonts w:eastAsia="仿宋_GB2312"/>
          <w:spacing w:val="-4"/>
          <w:kern w:val="0"/>
          <w:sz w:val="32"/>
          <w:szCs w:val="32"/>
        </w:rPr>
        <w:t>“法治人社”建设重点任务，层层压实责任、细化落实举措。</w:t>
      </w:r>
    </w:p>
    <w:bookmarkEnd w:id="15"/>
    <w:bookmarkEnd w:id="16"/>
    <w:p w14:paraId="6CB3C9C3">
      <w:pPr>
        <w:spacing w:line="560" w:lineRule="exact"/>
        <w:ind w:firstLine="624" w:firstLineChars="200"/>
        <w:rPr>
          <w:rFonts w:eastAsia="黑体"/>
          <w:spacing w:val="-4"/>
          <w:kern w:val="0"/>
          <w:sz w:val="32"/>
          <w:szCs w:val="32"/>
        </w:rPr>
      </w:pPr>
      <w:r>
        <w:rPr>
          <w:rFonts w:eastAsia="黑体"/>
          <w:spacing w:val="-4"/>
          <w:kern w:val="0"/>
          <w:sz w:val="32"/>
          <w:szCs w:val="32"/>
        </w:rPr>
        <w:t>二、依法全面履职，推动人社事业高质量发展</w:t>
      </w:r>
    </w:p>
    <w:p w14:paraId="7005AE0E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（一）抓实主责主业，提升核心业务成效</w:t>
      </w:r>
    </w:p>
    <w:p w14:paraId="2385F090">
      <w:pPr>
        <w:spacing w:line="560" w:lineRule="exact"/>
        <w:ind w:firstLine="640" w:firstLineChars="200"/>
        <w:rPr>
          <w:rFonts w:eastAsia="仿宋_GB2312"/>
          <w:spacing w:val="-4"/>
          <w:kern w:val="0"/>
          <w:sz w:val="32"/>
          <w:szCs w:val="32"/>
        </w:rPr>
      </w:pPr>
      <w:bookmarkStart w:id="21" w:name="OLE_LINK43"/>
      <w:bookmarkStart w:id="22" w:name="OLE_LINK40"/>
      <w:r>
        <w:rPr>
          <w:rFonts w:eastAsia="仿宋_GB2312"/>
          <w:kern w:val="0"/>
          <w:sz w:val="32"/>
          <w:szCs w:val="32"/>
        </w:rPr>
        <w:t>聚焦就业创</w:t>
      </w:r>
      <w:r>
        <w:rPr>
          <w:rFonts w:eastAsia="仿宋_GB2312"/>
          <w:spacing w:val="-4"/>
          <w:kern w:val="0"/>
          <w:sz w:val="32"/>
          <w:szCs w:val="32"/>
        </w:rPr>
        <w:t>业、社会保障、人才引育、劳动关系治理等主责主业，协同推进各项重点工作，取得了一定成效。就业根基持续巩固。强化就业优先导向，发放各类促进就业补贴9364.83万元，惠及12.93万人次，发放各类创业补贴6739.4万元，惠及4.96万人次，城镇新增就业4.26万人，其中参保大学生新增1.62万人。社会保障提质增效。全民参保网络进一步织密扎牢，新增养老保险参保人4.8万人，企业职工基本养老保险在职参保人数突破60万人。人才工作稳步推进。</w:t>
      </w:r>
      <w:bookmarkStart w:id="23" w:name="OLE_LINK41"/>
      <w:bookmarkStart w:id="24" w:name="OLE_LINK42"/>
      <w:r>
        <w:rPr>
          <w:rFonts w:eastAsia="仿宋_GB2312"/>
          <w:spacing w:val="-4"/>
          <w:kern w:val="0"/>
          <w:sz w:val="32"/>
          <w:szCs w:val="32"/>
        </w:rPr>
        <w:t>全年新增国家级博士后工作站8家，成功引进博士后26名，入选江苏省“双创博士”14名，入选“江苏省卓越博士后计划”2名。技能人才队伍日益壮大，新增高技能人才1.54万人，技能人才总量超11万人。</w:t>
      </w:r>
      <w:bookmarkEnd w:id="23"/>
      <w:bookmarkEnd w:id="24"/>
      <w:bookmarkStart w:id="25" w:name="OLE_LINK14"/>
      <w:bookmarkStart w:id="26" w:name="OLE_LINK15"/>
      <w:r>
        <w:rPr>
          <w:rFonts w:eastAsia="仿宋_GB2312"/>
          <w:spacing w:val="-4"/>
          <w:kern w:val="0"/>
          <w:sz w:val="32"/>
          <w:szCs w:val="32"/>
        </w:rPr>
        <w:t>纵深推进人力资源市场整治，涉人力资源维权线索同比下降20.66%，涉劳务中介警情同比下降46.4%。劳动保障领域矛盾风险总体平稳，全国欠薪平台线索量同比下降8.34%。</w:t>
      </w:r>
      <w:bookmarkEnd w:id="25"/>
      <w:bookmarkEnd w:id="26"/>
    </w:p>
    <w:bookmarkEnd w:id="21"/>
    <w:bookmarkEnd w:id="22"/>
    <w:p w14:paraId="14597AB0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</w:t>
      </w:r>
      <w:bookmarkEnd w:id="0"/>
      <w:bookmarkEnd w:id="1"/>
      <w:r>
        <w:rPr>
          <w:rFonts w:eastAsia="楷体_GB2312"/>
          <w:spacing w:val="-4"/>
          <w:kern w:val="0"/>
          <w:sz w:val="32"/>
          <w:szCs w:val="32"/>
        </w:rPr>
        <w:t>二）优化政务服务，提升群众获得感</w:t>
      </w:r>
    </w:p>
    <w:p w14:paraId="47A76C8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bookmarkStart w:id="27" w:name="OLE_LINK45"/>
      <w:bookmarkStart w:id="28" w:name="OLE_LINK44"/>
      <w:r>
        <w:rPr>
          <w:rFonts w:eastAsia="仿宋_GB2312"/>
          <w:sz w:val="32"/>
          <w:szCs w:val="32"/>
        </w:rPr>
        <w:t>自4月份起全面推行社保经办“午休不打烊”延时服务，将22项高频业务纳入延时服务清单，通过“前台值班+后台联动+领导带班”三重保障机制，实现即办事项“立等可取”、承诺事项“无缝流转”，运行以来，午间已受理业务1333件，有效解决群众“往返跑”“请假难”问题。开展“社保新政进园区”“政策宣讲进社区”等系列活动，通过摆摊设点、集中宣讲、走村入户等方式，累计服务群众1100人次、企业800余家，切实提升中小微企业参保意识与政策知晓度。完善退休人员社会化管理服务，全年走访慰问退休人员2.26万人次，支付慰问金及活动经费599.93万元，组织10.09万名企业退休人员参加免费健康体检，服务温度持续提升。</w:t>
      </w:r>
    </w:p>
    <w:bookmarkEnd w:id="27"/>
    <w:bookmarkEnd w:id="28"/>
    <w:p w14:paraId="5A6975B0">
      <w:pPr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r>
        <w:rPr>
          <w:rFonts w:eastAsia="黑体"/>
          <w:spacing w:val="-4"/>
          <w:kern w:val="0"/>
          <w:sz w:val="32"/>
          <w:szCs w:val="32"/>
        </w:rPr>
        <w:t>三、规范执法行为，推进严格规范公正文明执法</w:t>
      </w:r>
    </w:p>
    <w:p w14:paraId="0F4017F8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（一）重拳整治欠薪，筑牢权益保障防线</w:t>
      </w:r>
    </w:p>
    <w:p w14:paraId="1E43D4E2">
      <w:pPr>
        <w:spacing w:line="560" w:lineRule="exact"/>
        <w:ind w:firstLine="800" w:firstLineChars="25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9" w:name="OLE_LINK4"/>
      <w:bookmarkStart w:id="30" w:name="OLE_LINK3"/>
      <w:bookmarkStart w:id="31" w:name="OLE_LINK46"/>
      <w:bookmarkStart w:id="32" w:name="OLE_LINK47"/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全年累计处理各类欠薪线索、举报投诉16191件，为6591名劳动者追发工资等待遇1659.71万元，督促用人单位为410名劳动</w:t>
      </w:r>
      <w:bookmarkStart w:id="33" w:name="OLE_LINK28"/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者补缴社会保险费795.39万元。受理工程领域投诉举报2370件，同比下降7.89%，为1069名农民工追讨薪资522.73万元；受理全国欠薪线索</w:t>
      </w:r>
      <w:bookmarkEnd w:id="33"/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6870条，同比下降8.34%（其中工程领域1761条，同比增长9.51%，非工程领域5109条，同比下降13.33%），根治欠薪行动成效显著。</w:t>
      </w:r>
      <w:bookmarkEnd w:id="29"/>
      <w:bookmarkEnd w:id="30"/>
    </w:p>
    <w:bookmarkEnd w:id="31"/>
    <w:bookmarkEnd w:id="32"/>
    <w:p w14:paraId="18B6822E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（二）聚焦重点领域，强化执法监管效能</w:t>
      </w:r>
    </w:p>
    <w:p w14:paraId="11B07287">
      <w:pPr>
        <w:spacing w:line="560" w:lineRule="exact"/>
        <w:ind w:firstLine="800" w:firstLineChars="25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4" w:name="OLE_LINK49"/>
      <w:bookmarkStart w:id="35" w:name="OLE_LINK50"/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织规范人力资源市场秩序“净源行动”“深化整治专项行动”，巡查主流网络招聘平台、微信公众号等涉吴招聘信息851条，发现处置涉虚假招聘信息、就业歧视等问题134件。明察暗访中介集聚地、商务楼宇、蓝领公寓等集散点128次，发现处置违规收费、无证无照等问题31件。充分发挥农民工工资支付监控预警平台作用，落实“接预警即处理”机制，第一时间处置风险隐患，防止矛盾“上行外溢”。</w:t>
      </w:r>
    </w:p>
    <w:bookmarkEnd w:id="34"/>
    <w:bookmarkEnd w:id="35"/>
    <w:p w14:paraId="1661C6A0">
      <w:pPr>
        <w:spacing w:line="560" w:lineRule="exact"/>
        <w:ind w:firstLine="468" w:firstLineChars="15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spacing w:val="-4"/>
          <w:kern w:val="0"/>
          <w:sz w:val="32"/>
          <w:szCs w:val="32"/>
        </w:rPr>
        <w:t>四、强化权力制约，构建全方位监督体系</w:t>
      </w:r>
    </w:p>
    <w:p w14:paraId="04CA9CFD">
      <w:pPr>
        <w:spacing w:line="560" w:lineRule="exact"/>
        <w:ind w:firstLine="624" w:firstLineChars="200"/>
        <w:rPr>
          <w:rFonts w:eastAsia="楷体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kern w:val="0"/>
          <w:sz w:val="32"/>
          <w:szCs w:val="32"/>
        </w:rPr>
        <w:t>（一）自觉接受多元监督</w:t>
      </w:r>
    </w:p>
    <w:p w14:paraId="60C1076A">
      <w:pPr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bookmarkStart w:id="36" w:name="OLE_LINK51"/>
      <w:bookmarkStart w:id="37" w:name="OLE_LINK52"/>
      <w:r>
        <w:rPr>
          <w:rFonts w:eastAsia="仿宋_GB2312"/>
          <w:spacing w:val="-4"/>
          <w:kern w:val="0"/>
          <w:sz w:val="32"/>
          <w:szCs w:val="32"/>
        </w:rPr>
        <w:t>严格落实“一岗双责”，推进日常监督制度化、规范化，强化执纪问责。将人大建议和政协提案办理作为接受监督的重要抓手，保质保量按期完成办理任务，积极采纳代表委员合理建议，持续完善相关政策措施，提升工作针对性与实效性。</w:t>
      </w:r>
    </w:p>
    <w:bookmarkEnd w:id="36"/>
    <w:bookmarkEnd w:id="37"/>
    <w:p w14:paraId="1C4DB88C">
      <w:pPr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r>
        <w:rPr>
          <w:rFonts w:eastAsia="楷体_GB2312"/>
          <w:spacing w:val="-4"/>
          <w:sz w:val="32"/>
          <w:szCs w:val="32"/>
        </w:rPr>
        <w:t>（二）全面深化政务公开</w:t>
      </w:r>
    </w:p>
    <w:p w14:paraId="5B6C715B">
      <w:pPr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bookmarkStart w:id="38" w:name="OLE_LINK54"/>
      <w:bookmarkStart w:id="39" w:name="OLE_LINK53"/>
      <w:r>
        <w:rPr>
          <w:rFonts w:eastAsia="仿宋_GB2312"/>
          <w:spacing w:val="-4"/>
          <w:kern w:val="0"/>
          <w:sz w:val="32"/>
          <w:szCs w:val="32"/>
        </w:rPr>
        <w:t>严格落实政府信息公开制度，确保法治政府建设工作报告、行政许可等法定主动公开内容全面、及时、准确公开。规范依申请公开办理流程，全年依法办理依申请公开13件；完善来信办理机制，共依法办理书记信箱等</w:t>
      </w:r>
      <w:r>
        <w:rPr>
          <w:rFonts w:hint="eastAsia" w:eastAsia="仿宋_GB2312"/>
          <w:spacing w:val="-4"/>
          <w:kern w:val="0"/>
          <w:sz w:val="32"/>
          <w:szCs w:val="32"/>
        </w:rPr>
        <w:t>360件，</w:t>
      </w:r>
      <w:r>
        <w:rPr>
          <w:rFonts w:eastAsia="仿宋_GB2312"/>
          <w:spacing w:val="-4"/>
          <w:kern w:val="0"/>
          <w:sz w:val="32"/>
          <w:szCs w:val="32"/>
        </w:rPr>
        <w:t>及时回应社会关切，保障群众知情权、参与权和监督权。</w:t>
      </w:r>
    </w:p>
    <w:bookmarkEnd w:id="38"/>
    <w:bookmarkEnd w:id="39"/>
    <w:p w14:paraId="5CF36000">
      <w:pPr>
        <w:spacing w:line="560" w:lineRule="exact"/>
        <w:ind w:firstLine="624" w:firstLineChars="200"/>
        <w:rPr>
          <w:rFonts w:eastAsia="黑体"/>
          <w:spacing w:val="-4"/>
          <w:kern w:val="0"/>
          <w:sz w:val="32"/>
          <w:szCs w:val="32"/>
        </w:rPr>
      </w:pPr>
      <w:r>
        <w:rPr>
          <w:rFonts w:eastAsia="黑体"/>
          <w:spacing w:val="-4"/>
          <w:kern w:val="0"/>
          <w:sz w:val="32"/>
          <w:szCs w:val="32"/>
        </w:rPr>
        <w:t>五、健全化解机制，依法有效化解社会矛盾</w:t>
      </w:r>
    </w:p>
    <w:p w14:paraId="4CE5BEB7">
      <w:pPr>
        <w:spacing w:line="560" w:lineRule="exact"/>
        <w:ind w:firstLine="624" w:firstLineChars="200"/>
        <w:rPr>
          <w:rFonts w:eastAsia="楷体_GB2312"/>
          <w:spacing w:val="-4"/>
          <w:sz w:val="32"/>
          <w:szCs w:val="32"/>
        </w:rPr>
      </w:pPr>
      <w:r>
        <w:rPr>
          <w:rFonts w:eastAsia="楷体_GB2312"/>
          <w:spacing w:val="-4"/>
          <w:sz w:val="32"/>
          <w:szCs w:val="32"/>
        </w:rPr>
        <w:t>（一）深化劳动人事争议调解仲裁</w:t>
      </w:r>
    </w:p>
    <w:p w14:paraId="0245463F"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40" w:name="OLE_LINK55"/>
      <w:bookmarkStart w:id="41" w:name="OLE_LINK56"/>
      <w:bookmarkStart w:id="42" w:name="OLE_LINK57"/>
      <w:bookmarkStart w:id="43" w:name="OLE_LINK58"/>
      <w:r>
        <w:rPr>
          <w:rFonts w:eastAsia="仿宋_GB2312"/>
          <w:color w:val="000000"/>
          <w:sz w:val="32"/>
          <w:szCs w:val="32"/>
          <w:shd w:val="clear" w:color="auto" w:fill="FFFFFF"/>
        </w:rPr>
        <w:t>创新建立“人社+工会”联合调处机制，引入第三方专业调解力量，激活矛盾化解新动能。第三方调解组织自5月26日入驻以来，累计参与案件调处1532件。常态化运行“周末仲裁庭”，每周六安排1-2名仲裁员开展庭审，全年累计开庭143次，为当事人提供灵活便捷的维权渠道。发挥人民调解专家示范引领作用，通过省专家调解平台处理案件451件，成功化解231件，调解成功率稳步提升</w:t>
      </w:r>
      <w:bookmarkEnd w:id="40"/>
      <w:bookmarkEnd w:id="41"/>
      <w:r>
        <w:rPr>
          <w:rFonts w:eastAsia="仿宋_GB2312"/>
          <w:color w:val="000000"/>
          <w:sz w:val="32"/>
          <w:szCs w:val="32"/>
          <w:shd w:val="clear" w:color="auto" w:fill="FFFFFF"/>
        </w:rPr>
        <w:t>。</w:t>
      </w:r>
    </w:p>
    <w:bookmarkEnd w:id="42"/>
    <w:bookmarkEnd w:id="43"/>
    <w:p w14:paraId="4D39834F">
      <w:pPr>
        <w:spacing w:line="560" w:lineRule="exact"/>
        <w:ind w:firstLine="624" w:firstLineChars="200"/>
        <w:rPr>
          <w:rFonts w:eastAsia="楷体_GB2312"/>
          <w:spacing w:val="-4"/>
          <w:sz w:val="32"/>
          <w:szCs w:val="32"/>
        </w:rPr>
      </w:pPr>
      <w:r>
        <w:rPr>
          <w:rFonts w:eastAsia="楷体_GB2312"/>
          <w:spacing w:val="-4"/>
          <w:sz w:val="32"/>
          <w:szCs w:val="32"/>
        </w:rPr>
        <w:t>（二）妥善处理行政争议</w:t>
      </w:r>
    </w:p>
    <w:p w14:paraId="40DAD8D8">
      <w:pPr>
        <w:spacing w:line="560" w:lineRule="exact"/>
        <w:ind w:firstLine="616" w:firstLineChars="200"/>
        <w:rPr>
          <w:rFonts w:eastAsia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bookmarkStart w:id="44" w:name="OLE_LINK24"/>
      <w:r>
        <w:rPr>
          <w:rFonts w:eastAsia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2025年，全局共办理行政复议申请56件、行政应诉案件65</w:t>
      </w:r>
      <w:bookmarkStart w:id="45" w:name="OLE_LINK23"/>
      <w:bookmarkStart w:id="46" w:name="OLE_LINK20"/>
      <w:bookmarkStart w:id="47" w:name="OLE_LINK19"/>
      <w:r>
        <w:rPr>
          <w:rFonts w:eastAsia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件</w:t>
      </w:r>
      <w:bookmarkEnd w:id="44"/>
      <w:bookmarkEnd w:id="45"/>
      <w:bookmarkEnd w:id="46"/>
      <w:bookmarkEnd w:id="47"/>
      <w:r>
        <w:rPr>
          <w:rFonts w:eastAsia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。今年以来，在案件办理过程中，积极创新案件办理模式，通过主动沟通协调、精准释法说理等方式，推动行政争议实质性化解，有效降低行政诉讼败诉风险，维护行政机关公信力与群众合法权益。</w:t>
      </w:r>
      <w:bookmarkStart w:id="48" w:name="OLE_LINK6"/>
      <w:bookmarkStart w:id="49" w:name="OLE_LINK5"/>
    </w:p>
    <w:bookmarkEnd w:id="48"/>
    <w:bookmarkEnd w:id="49"/>
    <w:p w14:paraId="12C18578">
      <w:pPr>
        <w:spacing w:line="560" w:lineRule="exact"/>
        <w:ind w:firstLine="624" w:firstLineChars="200"/>
        <w:rPr>
          <w:rFonts w:eastAsia="黑体"/>
          <w:spacing w:val="-4"/>
          <w:kern w:val="0"/>
          <w:sz w:val="32"/>
          <w:szCs w:val="32"/>
        </w:rPr>
      </w:pPr>
      <w:r>
        <w:rPr>
          <w:rFonts w:eastAsia="黑体"/>
          <w:spacing w:val="-4"/>
          <w:kern w:val="0"/>
          <w:sz w:val="32"/>
          <w:szCs w:val="32"/>
        </w:rPr>
        <w:t>六、深化法治宣传，营造尊法学法守法用法氛围</w:t>
      </w:r>
    </w:p>
    <w:p w14:paraId="5174DB23">
      <w:pPr>
        <w:widowControl/>
        <w:shd w:val="clear" w:color="auto" w:fill="FFFFFF"/>
        <w:spacing w:line="560" w:lineRule="exact"/>
        <w:ind w:firstLine="616" w:firstLineChars="200"/>
        <w:rPr>
          <w:rFonts w:eastAsia="楷体_GB2312"/>
          <w:spacing w:val="-6"/>
          <w:sz w:val="32"/>
          <w:szCs w:val="32"/>
        </w:rPr>
      </w:pPr>
      <w:r>
        <w:rPr>
          <w:rFonts w:eastAsia="楷体_GB2312"/>
          <w:spacing w:val="-6"/>
          <w:sz w:val="32"/>
          <w:szCs w:val="32"/>
        </w:rPr>
        <w:t>（一）精准开展普法宣传</w:t>
      </w:r>
    </w:p>
    <w:p w14:paraId="4F9AE299">
      <w:pPr>
        <w:widowControl/>
        <w:shd w:val="clear" w:color="auto" w:fill="FFFFFF"/>
        <w:spacing w:line="560" w:lineRule="exact"/>
        <w:ind w:firstLine="624" w:firstLineChars="200"/>
        <w:rPr>
          <w:rFonts w:eastAsia="仿宋_GB2312"/>
          <w:spacing w:val="-4"/>
          <w:kern w:val="0"/>
          <w:sz w:val="32"/>
          <w:szCs w:val="32"/>
        </w:rPr>
      </w:pPr>
      <w:bookmarkStart w:id="50" w:name="OLE_LINK60"/>
      <w:bookmarkStart w:id="51" w:name="OLE_LINK59"/>
      <w:bookmarkStart w:id="52" w:name="OLE_LINK48"/>
      <w:r>
        <w:rPr>
          <w:rFonts w:eastAsia="仿宋_GB2312"/>
          <w:spacing w:val="-4"/>
          <w:kern w:val="0"/>
          <w:sz w:val="32"/>
          <w:szCs w:val="32"/>
        </w:rPr>
        <w:t>线上线下联动开展法律法规宣传，强化人力资源服务机构、劳务派遣单</w:t>
      </w:r>
      <w:bookmarkEnd w:id="50"/>
      <w:bookmarkEnd w:id="51"/>
      <w:r>
        <w:rPr>
          <w:rFonts w:eastAsia="仿宋_GB2312"/>
          <w:spacing w:val="-4"/>
          <w:kern w:val="0"/>
          <w:sz w:val="32"/>
          <w:szCs w:val="32"/>
        </w:rPr>
        <w:t>位及其关联企业的诚信守法意识。联合行业主管部门开展“用工第一课”“实名制用工管理”等专题宣传活动，强化建筑工地合法用工法治氛围；通过工程建设领域农民工工资支付隐患排查等行动，进一步普及劳动保障法律法规，为农民工“安薪回家”保驾护航。主动对接用工企业和乡镇板块，全年开展专题宣讲11场次，覆盖企业353户，夯实</w:t>
      </w:r>
      <w:bookmarkStart w:id="53" w:name="OLE_LINK62"/>
      <w:bookmarkStart w:id="54" w:name="OLE_LINK61"/>
      <w:r>
        <w:rPr>
          <w:rFonts w:eastAsia="仿宋_GB2312"/>
          <w:spacing w:val="-4"/>
          <w:kern w:val="0"/>
          <w:sz w:val="32"/>
          <w:szCs w:val="32"/>
        </w:rPr>
        <w:t>欠薪</w:t>
      </w:r>
      <w:bookmarkEnd w:id="53"/>
      <w:bookmarkEnd w:id="54"/>
      <w:r>
        <w:rPr>
          <w:rFonts w:eastAsia="仿宋_GB2312"/>
          <w:spacing w:val="-4"/>
          <w:kern w:val="0"/>
          <w:sz w:val="32"/>
          <w:szCs w:val="32"/>
        </w:rPr>
        <w:t>源头治理法治基础。</w:t>
      </w:r>
      <w:bookmarkEnd w:id="52"/>
    </w:p>
    <w:p w14:paraId="021F5CBA">
      <w:pPr>
        <w:widowControl/>
        <w:shd w:val="clear" w:color="auto" w:fill="FFFFFF"/>
        <w:spacing w:line="560" w:lineRule="exact"/>
        <w:ind w:firstLine="624" w:firstLineChars="200"/>
        <w:rPr>
          <w:rFonts w:eastAsia="仿宋_GB2312"/>
          <w:spacing w:val="-6"/>
          <w:sz w:val="32"/>
          <w:szCs w:val="32"/>
        </w:rPr>
      </w:pPr>
      <w:r>
        <w:rPr>
          <w:rFonts w:eastAsia="楷体_GB2312"/>
          <w:spacing w:val="-4"/>
          <w:sz w:val="32"/>
          <w:szCs w:val="32"/>
        </w:rPr>
        <w:t>（二）加强干部法治培训</w:t>
      </w:r>
    </w:p>
    <w:p w14:paraId="172EF96A">
      <w:pPr>
        <w:widowControl/>
        <w:shd w:val="clear" w:color="auto" w:fill="FFFFFF"/>
        <w:spacing w:line="560" w:lineRule="exact"/>
        <w:ind w:firstLine="616" w:firstLineChars="200"/>
        <w:rPr>
          <w:rFonts w:eastAsia="仿宋_GB2312"/>
          <w:spacing w:val="-6"/>
          <w:sz w:val="32"/>
          <w:szCs w:val="32"/>
        </w:rPr>
      </w:pPr>
      <w:r>
        <w:rPr>
          <w:rFonts w:eastAsia="仿宋_GB2312"/>
          <w:spacing w:val="-6"/>
          <w:sz w:val="32"/>
          <w:szCs w:val="32"/>
        </w:rPr>
        <w:t>严格落实宪法宣誓制度，组织新入职人员开展宪法宣誓活动，强化法治信仰。选派执法骨干参加各类专题培训，充分利用苏州市行政执法人员培训平台，丰富学法内容与形式，着力提升工作人员依法行政能力和为民服务本领。</w:t>
      </w:r>
    </w:p>
    <w:p w14:paraId="232C4142">
      <w:pPr>
        <w:spacing w:line="560" w:lineRule="exact"/>
        <w:ind w:firstLine="3680" w:firstLineChars="1150"/>
        <w:rPr>
          <w:rFonts w:eastAsia="仿宋_GB2312"/>
          <w:sz w:val="32"/>
          <w:szCs w:val="32"/>
        </w:rPr>
      </w:pPr>
    </w:p>
    <w:p w14:paraId="40F0D8CE">
      <w:pPr>
        <w:spacing w:line="560" w:lineRule="exact"/>
        <w:ind w:firstLine="3520" w:firstLineChars="11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苏州市吴中区人力资源和社会保障局</w:t>
      </w:r>
    </w:p>
    <w:p w14:paraId="65B0A1D5">
      <w:pPr>
        <w:spacing w:line="560" w:lineRule="exact"/>
        <w:ind w:firstLine="5120" w:firstLineChars="1600"/>
      </w:pPr>
      <w:r>
        <w:rPr>
          <w:rFonts w:eastAsia="仿宋_GB2312"/>
          <w:sz w:val="32"/>
          <w:szCs w:val="32"/>
        </w:rPr>
        <w:t>2025年12月</w:t>
      </w:r>
      <w:bookmarkEnd w:id="2"/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65A2588B-9B77-4ED9-86C2-BD7B3434E57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68F020A-1FAC-4843-B96E-CE724E34F6C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C9B0BA3-CE31-4C1B-8A24-96A1B0E0A5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3710A8C-2ED2-4AB4-A31F-B3553D600BC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EB540A4-8FDC-4270-9FF9-F0E9B5A0A8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3076495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55A80C07">
        <w:pPr>
          <w:pStyle w:val="3"/>
          <w:jc w:val="center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6 -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018B36B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114"/>
    <w:rsid w:val="00003589"/>
    <w:rsid w:val="00037284"/>
    <w:rsid w:val="000552EF"/>
    <w:rsid w:val="00066D96"/>
    <w:rsid w:val="000818C3"/>
    <w:rsid w:val="000837EE"/>
    <w:rsid w:val="00093BAB"/>
    <w:rsid w:val="000B401B"/>
    <w:rsid w:val="000C0EA6"/>
    <w:rsid w:val="000C48C4"/>
    <w:rsid w:val="000D574B"/>
    <w:rsid w:val="000F773F"/>
    <w:rsid w:val="00102973"/>
    <w:rsid w:val="001032BF"/>
    <w:rsid w:val="001207E4"/>
    <w:rsid w:val="00124A3E"/>
    <w:rsid w:val="001560C5"/>
    <w:rsid w:val="0016791B"/>
    <w:rsid w:val="00176FE2"/>
    <w:rsid w:val="001825B1"/>
    <w:rsid w:val="00184237"/>
    <w:rsid w:val="001917BA"/>
    <w:rsid w:val="001968D7"/>
    <w:rsid w:val="001A3A25"/>
    <w:rsid w:val="001D7852"/>
    <w:rsid w:val="001F07DE"/>
    <w:rsid w:val="001F3663"/>
    <w:rsid w:val="00215D46"/>
    <w:rsid w:val="002210DF"/>
    <w:rsid w:val="00231B0B"/>
    <w:rsid w:val="00241F6C"/>
    <w:rsid w:val="002443A7"/>
    <w:rsid w:val="00251E58"/>
    <w:rsid w:val="0025743E"/>
    <w:rsid w:val="00263219"/>
    <w:rsid w:val="002642BC"/>
    <w:rsid w:val="00265A08"/>
    <w:rsid w:val="00273A6F"/>
    <w:rsid w:val="0027616C"/>
    <w:rsid w:val="002805CE"/>
    <w:rsid w:val="00283CC2"/>
    <w:rsid w:val="002C422F"/>
    <w:rsid w:val="002D5092"/>
    <w:rsid w:val="00302402"/>
    <w:rsid w:val="00312B7C"/>
    <w:rsid w:val="00334E38"/>
    <w:rsid w:val="00341171"/>
    <w:rsid w:val="00341337"/>
    <w:rsid w:val="0034750E"/>
    <w:rsid w:val="0036123A"/>
    <w:rsid w:val="00361E1B"/>
    <w:rsid w:val="00375DD0"/>
    <w:rsid w:val="00385BE5"/>
    <w:rsid w:val="00394255"/>
    <w:rsid w:val="00395A68"/>
    <w:rsid w:val="003A5D80"/>
    <w:rsid w:val="0040337A"/>
    <w:rsid w:val="0040444E"/>
    <w:rsid w:val="0041773A"/>
    <w:rsid w:val="004207DE"/>
    <w:rsid w:val="00440B0C"/>
    <w:rsid w:val="0046337D"/>
    <w:rsid w:val="00474FA7"/>
    <w:rsid w:val="00482043"/>
    <w:rsid w:val="0048308E"/>
    <w:rsid w:val="004A4AF6"/>
    <w:rsid w:val="004B4CA5"/>
    <w:rsid w:val="004B5C83"/>
    <w:rsid w:val="004C24F3"/>
    <w:rsid w:val="004E463B"/>
    <w:rsid w:val="004F3792"/>
    <w:rsid w:val="00514FAB"/>
    <w:rsid w:val="00520AF4"/>
    <w:rsid w:val="00521940"/>
    <w:rsid w:val="0052669A"/>
    <w:rsid w:val="00533A03"/>
    <w:rsid w:val="0054207F"/>
    <w:rsid w:val="00553A5F"/>
    <w:rsid w:val="00572480"/>
    <w:rsid w:val="00575FB6"/>
    <w:rsid w:val="005836C5"/>
    <w:rsid w:val="005957BD"/>
    <w:rsid w:val="005A2448"/>
    <w:rsid w:val="005B7C8A"/>
    <w:rsid w:val="005C5E79"/>
    <w:rsid w:val="005D4B4D"/>
    <w:rsid w:val="005E1385"/>
    <w:rsid w:val="00622B94"/>
    <w:rsid w:val="00632CDE"/>
    <w:rsid w:val="006546FF"/>
    <w:rsid w:val="00657F2C"/>
    <w:rsid w:val="006863B4"/>
    <w:rsid w:val="006947F6"/>
    <w:rsid w:val="006E7958"/>
    <w:rsid w:val="006F35FA"/>
    <w:rsid w:val="006F6918"/>
    <w:rsid w:val="0070339C"/>
    <w:rsid w:val="00715928"/>
    <w:rsid w:val="0072062F"/>
    <w:rsid w:val="007278DA"/>
    <w:rsid w:val="00741A45"/>
    <w:rsid w:val="00751482"/>
    <w:rsid w:val="007769A7"/>
    <w:rsid w:val="00786761"/>
    <w:rsid w:val="00790026"/>
    <w:rsid w:val="007940B4"/>
    <w:rsid w:val="007B65C7"/>
    <w:rsid w:val="007C1DC4"/>
    <w:rsid w:val="007D1FDD"/>
    <w:rsid w:val="007D4AA6"/>
    <w:rsid w:val="007E0CB5"/>
    <w:rsid w:val="007F39E2"/>
    <w:rsid w:val="00811965"/>
    <w:rsid w:val="00825712"/>
    <w:rsid w:val="00826469"/>
    <w:rsid w:val="0084525E"/>
    <w:rsid w:val="00850880"/>
    <w:rsid w:val="00856748"/>
    <w:rsid w:val="008612E1"/>
    <w:rsid w:val="008741D2"/>
    <w:rsid w:val="00886FEB"/>
    <w:rsid w:val="008956C1"/>
    <w:rsid w:val="008B0300"/>
    <w:rsid w:val="008C1E9C"/>
    <w:rsid w:val="008C3597"/>
    <w:rsid w:val="008C6568"/>
    <w:rsid w:val="008F7176"/>
    <w:rsid w:val="008F737E"/>
    <w:rsid w:val="00910928"/>
    <w:rsid w:val="00915CA6"/>
    <w:rsid w:val="00922D56"/>
    <w:rsid w:val="00922E27"/>
    <w:rsid w:val="0092630D"/>
    <w:rsid w:val="00927C48"/>
    <w:rsid w:val="0094348A"/>
    <w:rsid w:val="00943E9F"/>
    <w:rsid w:val="00944500"/>
    <w:rsid w:val="009457FB"/>
    <w:rsid w:val="00946047"/>
    <w:rsid w:val="00951C7F"/>
    <w:rsid w:val="009554EA"/>
    <w:rsid w:val="00957331"/>
    <w:rsid w:val="00964846"/>
    <w:rsid w:val="00982B0E"/>
    <w:rsid w:val="009856F7"/>
    <w:rsid w:val="009904EA"/>
    <w:rsid w:val="009937BD"/>
    <w:rsid w:val="009A1D46"/>
    <w:rsid w:val="009E6757"/>
    <w:rsid w:val="009F67B3"/>
    <w:rsid w:val="00A077E7"/>
    <w:rsid w:val="00A251E0"/>
    <w:rsid w:val="00A56235"/>
    <w:rsid w:val="00A64DFA"/>
    <w:rsid w:val="00A76274"/>
    <w:rsid w:val="00A81CFA"/>
    <w:rsid w:val="00A840CE"/>
    <w:rsid w:val="00A930C7"/>
    <w:rsid w:val="00AA2DB8"/>
    <w:rsid w:val="00AA7255"/>
    <w:rsid w:val="00AB4BA0"/>
    <w:rsid w:val="00AC26D9"/>
    <w:rsid w:val="00AC43F8"/>
    <w:rsid w:val="00AC639D"/>
    <w:rsid w:val="00B07CD1"/>
    <w:rsid w:val="00B40A0A"/>
    <w:rsid w:val="00B414C5"/>
    <w:rsid w:val="00B602D7"/>
    <w:rsid w:val="00B64145"/>
    <w:rsid w:val="00B66E50"/>
    <w:rsid w:val="00B70D3E"/>
    <w:rsid w:val="00B759EF"/>
    <w:rsid w:val="00B810C4"/>
    <w:rsid w:val="00B82639"/>
    <w:rsid w:val="00B901DF"/>
    <w:rsid w:val="00BB3E28"/>
    <w:rsid w:val="00BB732E"/>
    <w:rsid w:val="00BD6FCD"/>
    <w:rsid w:val="00BE0E91"/>
    <w:rsid w:val="00BF0F5F"/>
    <w:rsid w:val="00C0300E"/>
    <w:rsid w:val="00C14575"/>
    <w:rsid w:val="00C23898"/>
    <w:rsid w:val="00C342FD"/>
    <w:rsid w:val="00C34AFF"/>
    <w:rsid w:val="00C40E83"/>
    <w:rsid w:val="00C53049"/>
    <w:rsid w:val="00C5543F"/>
    <w:rsid w:val="00C70C22"/>
    <w:rsid w:val="00C945D4"/>
    <w:rsid w:val="00CA0CAB"/>
    <w:rsid w:val="00CA2055"/>
    <w:rsid w:val="00CB0978"/>
    <w:rsid w:val="00CB198D"/>
    <w:rsid w:val="00CB7EDC"/>
    <w:rsid w:val="00CD04E4"/>
    <w:rsid w:val="00CD2114"/>
    <w:rsid w:val="00CD2EA3"/>
    <w:rsid w:val="00CE6219"/>
    <w:rsid w:val="00CF093A"/>
    <w:rsid w:val="00CF427E"/>
    <w:rsid w:val="00D10956"/>
    <w:rsid w:val="00D23BAB"/>
    <w:rsid w:val="00D31B71"/>
    <w:rsid w:val="00D44259"/>
    <w:rsid w:val="00D569DE"/>
    <w:rsid w:val="00D86113"/>
    <w:rsid w:val="00D94122"/>
    <w:rsid w:val="00DA1F9B"/>
    <w:rsid w:val="00DB4330"/>
    <w:rsid w:val="00DC0F96"/>
    <w:rsid w:val="00DD6273"/>
    <w:rsid w:val="00DD7009"/>
    <w:rsid w:val="00DD7EFD"/>
    <w:rsid w:val="00DE10F8"/>
    <w:rsid w:val="00DE2124"/>
    <w:rsid w:val="00DF43A9"/>
    <w:rsid w:val="00E203C8"/>
    <w:rsid w:val="00E71434"/>
    <w:rsid w:val="00E83FCB"/>
    <w:rsid w:val="00E85469"/>
    <w:rsid w:val="00E85E19"/>
    <w:rsid w:val="00EA2816"/>
    <w:rsid w:val="00EC5504"/>
    <w:rsid w:val="00EC7C60"/>
    <w:rsid w:val="00ED2D0B"/>
    <w:rsid w:val="00ED63F5"/>
    <w:rsid w:val="00ED6CB2"/>
    <w:rsid w:val="00EE5BDE"/>
    <w:rsid w:val="00EF6CDD"/>
    <w:rsid w:val="00F058EC"/>
    <w:rsid w:val="00F50453"/>
    <w:rsid w:val="00F62905"/>
    <w:rsid w:val="00F845A1"/>
    <w:rsid w:val="00F84AB2"/>
    <w:rsid w:val="00FA0C42"/>
    <w:rsid w:val="00FB012A"/>
    <w:rsid w:val="00FF4C05"/>
    <w:rsid w:val="00FF7653"/>
    <w:rsid w:val="00FF7EBF"/>
    <w:rsid w:val="18DE2B5A"/>
    <w:rsid w:val="34704896"/>
    <w:rsid w:val="381A2D26"/>
    <w:rsid w:val="40BE1148"/>
    <w:rsid w:val="421538F8"/>
    <w:rsid w:val="4CC34520"/>
    <w:rsid w:val="4D70409A"/>
    <w:rsid w:val="5761526A"/>
    <w:rsid w:val="64D272F5"/>
    <w:rsid w:val="796A59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f4646461-6c4c-4e16-9063-4b4f7275a973</errorID>
      <errorWord>法治思维与法治方式</errorWord>
      <group>L1_Political</group>
      <groupName>政治性问题</groupName>
      <ability>L2_Keyword</ability>
      <abilityName>固定表述</abilityName>
      <candidateList>
        <item>法治思维和法治方式</item>
      </candidateList>
      <explain>词汇“法治思维和法治方式”在特定场景下为固定表述形式，请确认此处的“法治思维与法治方式”是否存在不当。</explain>
      <paraID> 53482E2</paraID>
      <start>116</start>
      <end>125</end>
      <status>modified</status>
      <modifiedWord>法治思维和法治方式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C8B7E9B-2BC1-4152-B59A-B329F6CE72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2582</Words>
  <Characters>2752</Characters>
  <Lines>19</Lines>
  <Paragraphs>5</Paragraphs>
  <TotalTime>52</TotalTime>
  <ScaleCrop>false</ScaleCrop>
  <LinksUpToDate>false</LinksUpToDate>
  <CharactersWithSpaces>2752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2026-01-22T07:17:00Z</dcterms:created>
  <dc:creator>NTKO</dc:creator>
  <cp:lastModifiedBy>薄荷凉</cp:lastModifiedBy>
  <cp:lastPrinted>2026-01-30T06:08:00Z</cp:lastPrinted>
  <dcterms:modified xsi:type="dcterms:W3CDTF">2026-01-30T07:40:39Z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eyJoZGlkIjoiYzMwNzQwMzFiODFiMjg5NGIyZTcyMmRjNTViZGYyMWUiLCJ1c2VySWQiOiI4OTMxODEyMjcifQ==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808247489A1242619070197A5823F7D4_13</vt:lpwstr>
  </property>
</Properties>
</file>