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附件：</w:t>
      </w:r>
    </w:p>
    <w:p>
      <w:pPr>
        <w:pStyle w:val="4"/>
        <w:snapToGrid/>
        <w:spacing w:line="582" w:lineRule="exact"/>
        <w:rPr>
          <w:rFonts w:hint="eastAsia" w:ascii="方正小标宋简体" w:hAnsi="方正小标宋简体" w:eastAsia="方正小标宋简体" w:cs="方正小标宋简体"/>
          <w:color w:val="000000"/>
          <w:w w:val="100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100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szCs w:val="44"/>
          <w:lang w:eastAsia="zh-CN"/>
        </w:rPr>
        <w:t>调整生态补偿政策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szCs w:val="44"/>
        </w:rPr>
        <w:t>的意见</w:t>
      </w:r>
    </w:p>
    <w:p>
      <w:pPr>
        <w:pStyle w:val="4"/>
        <w:snapToGrid/>
        <w:spacing w:line="582" w:lineRule="exact"/>
        <w:rPr>
          <w:rFonts w:hint="eastAsia" w:ascii="方正小标宋简体" w:hAnsi="方正小标宋简体" w:eastAsia="方正小标宋简体" w:cs="方正小标宋简体"/>
          <w:bCs/>
          <w:w w:val="10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100"/>
          <w:szCs w:val="44"/>
          <w:highlight w:val="none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为优化生态补偿政策，健全生态补偿机制，推动我区生态文明建设迈上新台阶，根据《苏州市生态补偿条例》的相关规定，依据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苏州市人民政府《关于实施第四轮生态补偿政策的意见》（苏府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〔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〕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88号）文件精神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结合我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区实际情况，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现决定对生态补偿政策作如下调整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一、扩大生态补偿范围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将绿色和有机认证农产品（水稻除外）纳入区级生态补偿范围。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突出重点调整补偿标准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（一）市级生态补偿政策及补偿标准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   1.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水稻田补偿标准。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对经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级以上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农业农村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部门认定的实际种植的水稻田，按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种植面积予以</w:t>
      </w:r>
      <w:r>
        <w:rPr>
          <w:rFonts w:hint="eastAsia" w:ascii="仿宋_GB2312" w:hAnsi="仿宋_GB2312" w:eastAsia="仿宋_GB2312" w:cs="仿宋_GB2312"/>
          <w:sz w:val="32"/>
          <w:szCs w:val="32"/>
        </w:rPr>
        <w:t>420元/亩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生态补偿。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   2.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水源地村、生态湿地村补偿标准。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对纳入省政府公布的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级以上集中式饮用水水源地保护名录、由市水源地主管部门认定的水源地保护区范围内的村，以及纳入《苏州市级重要湿地名录》、由市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湿地保护主管部门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认定的太湖和澄湖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湿地</w:t>
      </w:r>
      <w:r>
        <w:rPr>
          <w:rFonts w:hint="eastAsia" w:ascii="仿宋_GB2312" w:hAnsi="仿宋_GB2312" w:eastAsia="仿宋_GB2312" w:cs="仿宋_GB2312"/>
          <w:sz w:val="32"/>
          <w:szCs w:val="32"/>
        </w:rPr>
        <w:t>所在的村，综合考虑湖岸线长度、土地面积及村常住人口等因素，分三个档次进行补偿。以行政村为单位，湖岸线长度在3500米以上，区域土地面积在10000亩以上，村常住人口在4000人以上，同时达到三项标准的，水源地村按160万元/村、生态湿地村按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0万元/村予以生态补偿；达到一项以上标准的，水源地村按140万元/村、生态湿地村按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万元/村予以生态补偿；三项标准均未达到的，水源地村按120万元/村、生态湿地村按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万元/村予以生态补偿。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对四面环水或湖岸线长度超过10000米以上的行政村适当倾斜，按相应类别最高档次实行生态补偿。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   3.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生态公益林补偿标准。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对经区级及以上林业主管部门区划界定的区级以上生态公益林，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0元/亩予以生态补偿。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风景名胜区补偿标准。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对省级以上人民政府批准公布、由市风景名胜区主管部门认定的风景名胜区内的核心景区，按照150元/亩的标准予以补偿。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每个风景名胜区最低补偿标准为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（二）区级生态补偿政策及补偿标准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1.水源地村补偿标准。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对区</w:t>
      </w:r>
      <w:r>
        <w:rPr>
          <w:rFonts w:hint="eastAsia" w:ascii="仿宋_GB2312" w:hAnsi="仿宋_GB2312" w:eastAsia="仿宋_GB2312" w:cs="仿宋_GB2312"/>
          <w:sz w:val="32"/>
          <w:szCs w:val="32"/>
        </w:rPr>
        <w:t>水源地主管部门认定的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镇级以上集中式饮用水水源地保护区范围内的水源地村，按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30万元/村予以生态补偿。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市级生态湿地村可重复享受区级水源地村补偿。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2.绿色和有机认证农产品补偿标准。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对获得认证的绿色农产品和有机农产品（水稻除外），凭有效证书，在证书有效期范围内，按照100元/亩的标准予以一次性补偿。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、生态补偿资金的分配、承担和使用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）生态补偿资金承担。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生态补偿政策调整后，生态补偿资金按市政府苏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号文件规定，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市级生态补偿政策的补偿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资金由市、区两级财政各按50%共同承担；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区级生态补偿政策的补偿资金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由区财政全额承担。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）生态补偿资金分配。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按照责、权、利相统一的原则，生态补偿资金每年由市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区按上述标准核定后，拨付镇、村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及其他补偿对象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。其中生态公益林和风景名胜区的补偿资金由镇安排使用，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水稻田、水源地村和生态湿地村的</w:t>
      </w:r>
      <w:r>
        <w:rPr>
          <w:rFonts w:hint="eastAsia" w:ascii="仿宋_GB2312" w:hAnsi="仿宋_GB2312" w:eastAsia="仿宋_GB2312" w:cs="仿宋_GB2312"/>
          <w:sz w:val="32"/>
          <w:szCs w:val="32"/>
        </w:rPr>
        <w:t>补偿资金由村安排使用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绿色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有机认证农产品补偿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资金由获得认证的经营主体安排使用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（三）生态补偿资金使用。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镇人民政府应当拟定生态补偿资金使用预算，报镇人大批准后实施；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在村级落实好生态保护责任的前提下，生态补偿资金作为村级可用财力。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村（居）民委员会应当拟定生态补偿资金使用方案，经村（居）民会议或者村（居）代表会议通过后实施。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、统筹推进生态补偿工作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镇人民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（街道办事处）、村（居）民委员会等生态补偿对象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要严格执行《苏州市生态补偿条例》，全面落实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生态保护责任，加强生态补偿资金的使用管理。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相关政府职能部门要按照各自职责，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协同推进生态补偿工作。要加强对生态补偿对象的认定，对于“撤村建居”并且不再承担日常生态保护责任的社区，不再作为生态补偿对象；要完善日常指导监督手段，运用专业遥感监测技术，加强对水稻田、生态公益林的抽查监测；切实做好对乡镇、村生态补偿政策培训，督促落实生态保护责任，用好生态补偿资金；进一步强化部门联动，健全生态保护责任落实情况与生态补偿资金之间的挂钩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本意见自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印发之日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起实施。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鼎简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20B9F"/>
    <w:rsid w:val="51E2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汉鼎简大宋" w:eastAsia="汉鼎简大宋"/>
      <w:spacing w:val="0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2020-07-28T01:20:00Z</dcterms:created>
  <dc:creator>杜佳凤</dc:creator>
  <cp:lastModifiedBy>杜佳凤</cp:lastModifiedBy>
  <dcterms:modified xsi:type="dcterms:W3CDTF">2020-07-28T01:20:44Z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