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8611D">
      <w:pPr>
        <w:jc w:val="center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吴中区增信基金融资服务平台</w:t>
      </w:r>
    </w:p>
    <w:p w14:paraId="79066AF1">
      <w:pPr>
        <w:jc w:val="center"/>
        <w:rPr>
          <w:rFonts w:ascii="宋体" w:hAnsi="宋体" w:eastAsia="宋体"/>
          <w:b/>
          <w:bCs/>
          <w:sz w:val="30"/>
          <w:szCs w:val="30"/>
        </w:rPr>
      </w:pPr>
      <w:r>
        <w:rPr>
          <w:rFonts w:ascii="宋体" w:hAnsi="宋体" w:eastAsia="宋体"/>
          <w:b/>
          <w:bCs/>
          <w:sz w:val="30"/>
          <w:szCs w:val="30"/>
        </w:rPr>
        <w:t>操作手册（</w:t>
      </w:r>
      <w:r>
        <w:rPr>
          <w:rFonts w:hint="eastAsia" w:ascii="宋体" w:hAnsi="宋体" w:eastAsia="宋体"/>
          <w:b/>
          <w:bCs/>
          <w:sz w:val="30"/>
          <w:szCs w:val="30"/>
        </w:rPr>
        <w:t>银行</w:t>
      </w:r>
      <w:r>
        <w:rPr>
          <w:rFonts w:ascii="宋体" w:hAnsi="宋体" w:eastAsia="宋体"/>
          <w:b/>
          <w:bCs/>
          <w:sz w:val="30"/>
          <w:szCs w:val="30"/>
        </w:rPr>
        <w:t>端）</w:t>
      </w: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696895917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b/>
          <w:bCs/>
          <w:color w:val="auto"/>
          <w:kern w:val="2"/>
          <w:sz w:val="24"/>
          <w:szCs w:val="24"/>
          <w:lang w:val="zh-CN"/>
        </w:rPr>
      </w:sdtEndPr>
      <w:sdtContent>
        <w:p w14:paraId="6D1068B9">
          <w:pPr>
            <w:pStyle w:val="19"/>
            <w:jc w:val="center"/>
            <w:rPr>
              <w:rFonts w:ascii="宋体" w:hAnsi="宋体" w:eastAsia="宋体"/>
              <w:color w:val="auto"/>
              <w:sz w:val="28"/>
              <w:szCs w:val="28"/>
            </w:rPr>
          </w:pPr>
          <w:r>
            <w:rPr>
              <w:rFonts w:ascii="宋体" w:hAnsi="宋体" w:eastAsia="宋体"/>
              <w:color w:val="auto"/>
              <w:sz w:val="28"/>
              <w:szCs w:val="28"/>
              <w:lang w:val="zh-CN"/>
            </w:rPr>
            <w:t>目录</w:t>
          </w:r>
        </w:p>
        <w:p w14:paraId="35ABCAFD">
          <w:pPr>
            <w:pStyle w:val="8"/>
            <w:tabs>
              <w:tab w:val="right" w:leader="dot" w:pos="8306"/>
            </w:tabs>
          </w:pP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TOC \o "1-3" \h \z \u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  <w:r>
            <w:rPr>
              <w:rFonts w:ascii="宋体" w:hAnsi="宋体" w:eastAsia="宋体"/>
              <w:szCs w:val="24"/>
            </w:rPr>
            <w:fldChar w:fldCharType="begin"/>
          </w:r>
          <w:r>
            <w:rPr>
              <w:rFonts w:ascii="宋体" w:hAnsi="宋体" w:eastAsia="宋体"/>
              <w:szCs w:val="24"/>
            </w:rPr>
            <w:instrText xml:space="preserve"> HYPERLINK \l _Toc3256 </w:instrText>
          </w:r>
          <w:r>
            <w:rPr>
              <w:rFonts w:ascii="宋体" w:hAnsi="宋体" w:eastAsia="宋体"/>
              <w:szCs w:val="24"/>
            </w:rPr>
            <w:fldChar w:fldCharType="separate"/>
          </w:r>
          <w:r>
            <w:rPr>
              <w:rFonts w:ascii="宋体" w:hAnsi="宋体" w:eastAsia="宋体"/>
              <w:szCs w:val="30"/>
            </w:rPr>
            <w:t xml:space="preserve">一、 </w:t>
          </w:r>
          <w:r>
            <w:rPr>
              <w:rFonts w:hint="eastAsia" w:ascii="宋体" w:hAnsi="宋体" w:eastAsia="宋体"/>
              <w:szCs w:val="30"/>
            </w:rPr>
            <w:t>系统登录</w:t>
          </w:r>
          <w:r>
            <w:tab/>
          </w:r>
          <w:r>
            <w:fldChar w:fldCharType="begin"/>
          </w:r>
          <w:r>
            <w:instrText xml:space="preserve"> PAGEREF _Toc3256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宋体" w:hAnsi="宋体" w:eastAsia="宋体"/>
              <w:szCs w:val="24"/>
            </w:rPr>
            <w:fldChar w:fldCharType="end"/>
          </w:r>
        </w:p>
        <w:p w14:paraId="410916F2">
          <w:pPr>
            <w:pStyle w:val="9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_Toc16351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ascii="宋体" w:hAnsi="宋体" w:eastAsia="宋体"/>
              <w:szCs w:val="28"/>
            </w:rPr>
            <w:t xml:space="preserve">1、 </w:t>
          </w:r>
          <w:r>
            <w:rPr>
              <w:rFonts w:hint="eastAsia" w:ascii="宋体" w:hAnsi="宋体" w:eastAsia="宋体"/>
              <w:szCs w:val="28"/>
            </w:rPr>
            <w:t>访问地址</w:t>
          </w:r>
          <w:r>
            <w:tab/>
          </w:r>
          <w:r>
            <w:fldChar w:fldCharType="begin"/>
          </w:r>
          <w:r>
            <w:instrText xml:space="preserve"> PAGEREF _Toc16351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595DA933">
          <w:pPr>
            <w:pStyle w:val="8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_Toc11009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ascii="宋体" w:hAnsi="宋体" w:eastAsia="宋体"/>
              <w:szCs w:val="30"/>
            </w:rPr>
            <w:t xml:space="preserve">二、 </w:t>
          </w:r>
          <w:r>
            <w:rPr>
              <w:rFonts w:hint="eastAsia" w:ascii="宋体" w:hAnsi="宋体" w:eastAsia="宋体"/>
              <w:szCs w:val="30"/>
            </w:rPr>
            <w:t>企业入池管理</w:t>
          </w:r>
          <w:r>
            <w:tab/>
          </w:r>
          <w:r>
            <w:fldChar w:fldCharType="begin"/>
          </w:r>
          <w:r>
            <w:instrText xml:space="preserve"> PAGEREF _Toc11009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7C3FAB35">
          <w:pPr>
            <w:pStyle w:val="9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_Toc3912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8"/>
            </w:rPr>
            <w:t>1、 入池企业清单</w:t>
          </w:r>
          <w:r>
            <w:tab/>
          </w:r>
          <w:r>
            <w:fldChar w:fldCharType="begin"/>
          </w:r>
          <w:r>
            <w:instrText xml:space="preserve"> PAGEREF _Toc3912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4E9204F7">
          <w:pPr>
            <w:pStyle w:val="8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_Toc5915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ascii="宋体" w:hAnsi="宋体" w:eastAsia="宋体"/>
              <w:szCs w:val="30"/>
            </w:rPr>
            <w:t xml:space="preserve">三、 </w:t>
          </w:r>
          <w:r>
            <w:rPr>
              <w:rFonts w:hint="eastAsia" w:ascii="宋体" w:hAnsi="宋体" w:eastAsia="宋体"/>
              <w:szCs w:val="30"/>
            </w:rPr>
            <w:t>贷款业务管理</w:t>
          </w:r>
          <w:r>
            <w:tab/>
          </w:r>
          <w:r>
            <w:fldChar w:fldCharType="begin"/>
          </w:r>
          <w:r>
            <w:instrText xml:space="preserve"> PAGEREF _Toc5915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3A2B2C82">
          <w:pPr>
            <w:pStyle w:val="9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_Toc12445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8"/>
            </w:rPr>
            <w:t>1、 融资需求管理</w:t>
          </w:r>
          <w:r>
            <w:tab/>
          </w:r>
          <w:r>
            <w:fldChar w:fldCharType="begin"/>
          </w:r>
          <w:r>
            <w:instrText xml:space="preserve"> PAGEREF _Toc12445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03F55B51">
          <w:pPr>
            <w:pStyle w:val="5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_Toc9302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bCs w:val="0"/>
              <w:szCs w:val="24"/>
            </w:rPr>
            <w:t>（1）需求公告板</w:t>
          </w:r>
          <w:r>
            <w:tab/>
          </w:r>
          <w:r>
            <w:fldChar w:fldCharType="begin"/>
          </w:r>
          <w:r>
            <w:instrText xml:space="preserve"> PAGEREF _Toc9302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08BB51A9">
          <w:pPr>
            <w:pStyle w:val="5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_Toc20190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bCs w:val="0"/>
              <w:szCs w:val="24"/>
            </w:rPr>
            <w:t>（</w:t>
          </w:r>
          <w:r>
            <w:rPr>
              <w:rFonts w:ascii="宋体" w:hAnsi="宋体" w:eastAsia="宋体"/>
              <w:bCs w:val="0"/>
              <w:szCs w:val="24"/>
            </w:rPr>
            <w:t>2</w:t>
          </w:r>
          <w:r>
            <w:rPr>
              <w:rFonts w:hint="eastAsia" w:ascii="宋体" w:hAnsi="宋体" w:eastAsia="宋体"/>
              <w:bCs w:val="0"/>
              <w:szCs w:val="24"/>
            </w:rPr>
            <w:t>）需求管理</w:t>
          </w:r>
          <w:bookmarkStart w:id="35" w:name="_GoBack"/>
          <w:bookmarkEnd w:id="35"/>
          <w:r>
            <w:tab/>
          </w:r>
          <w:r>
            <w:fldChar w:fldCharType="begin"/>
          </w:r>
          <w:r>
            <w:instrText xml:space="preserve"> PAGEREF _Toc20190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0B4080BD">
          <w:pPr>
            <w:pStyle w:val="9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_Toc10972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8"/>
            </w:rPr>
            <w:t>2、 授信管理</w:t>
          </w:r>
          <w:r>
            <w:tab/>
          </w:r>
          <w:r>
            <w:fldChar w:fldCharType="begin"/>
          </w:r>
          <w:r>
            <w:instrText xml:space="preserve"> PAGEREF _Toc10972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3FA9BC81">
          <w:pPr>
            <w:pStyle w:val="9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_Toc32274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8"/>
            </w:rPr>
            <w:t>3、 放款管理</w:t>
          </w:r>
          <w:r>
            <w:tab/>
          </w:r>
          <w:r>
            <w:fldChar w:fldCharType="begin"/>
          </w:r>
          <w:r>
            <w:instrText xml:space="preserve"> PAGEREF _Toc32274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172C8A31">
          <w:pPr>
            <w:pStyle w:val="5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_Toc8467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</w:rPr>
            <w:t>（1）申请放款</w:t>
          </w:r>
          <w:r>
            <w:tab/>
          </w:r>
          <w:r>
            <w:fldChar w:fldCharType="begin"/>
          </w:r>
          <w:r>
            <w:instrText xml:space="preserve"> PAGEREF _Toc8467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15427FE4">
          <w:pPr>
            <w:pStyle w:val="5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_Toc11157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</w:rPr>
            <w:t>（</w:t>
          </w:r>
          <w:r>
            <w:rPr>
              <w:rFonts w:ascii="宋体" w:hAnsi="宋体" w:eastAsia="宋体"/>
              <w:szCs w:val="24"/>
            </w:rPr>
            <w:t>2</w:t>
          </w:r>
          <w:r>
            <w:rPr>
              <w:rFonts w:hint="eastAsia" w:ascii="宋体" w:hAnsi="宋体" w:eastAsia="宋体"/>
              <w:szCs w:val="24"/>
            </w:rPr>
            <w:t>）增信基金贷款确认函</w:t>
          </w:r>
          <w:r>
            <w:tab/>
          </w:r>
          <w:r>
            <w:fldChar w:fldCharType="begin"/>
          </w:r>
          <w:r>
            <w:instrText xml:space="preserve"> PAGEREF _Toc11157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721E5F5A">
          <w:pPr>
            <w:pStyle w:val="5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_Toc5422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</w:rPr>
            <w:t>（</w:t>
          </w:r>
          <w:r>
            <w:rPr>
              <w:rFonts w:ascii="宋体" w:hAnsi="宋体" w:eastAsia="宋体"/>
              <w:szCs w:val="24"/>
            </w:rPr>
            <w:t>3</w:t>
          </w:r>
          <w:r>
            <w:rPr>
              <w:rFonts w:hint="eastAsia" w:ascii="宋体" w:hAnsi="宋体" w:eastAsia="宋体"/>
              <w:szCs w:val="24"/>
            </w:rPr>
            <w:t>）放款备案</w:t>
          </w:r>
          <w:r>
            <w:tab/>
          </w:r>
          <w:r>
            <w:fldChar w:fldCharType="begin"/>
          </w:r>
          <w:r>
            <w:instrText xml:space="preserve"> PAGEREF _Toc5422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5EAE2E7C">
          <w:pPr>
            <w:pStyle w:val="5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_Toc20978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</w:rPr>
            <w:t>（</w:t>
          </w:r>
          <w:r>
            <w:rPr>
              <w:rFonts w:ascii="宋体" w:hAnsi="宋体" w:eastAsia="宋体"/>
              <w:szCs w:val="24"/>
            </w:rPr>
            <w:t>4</w:t>
          </w:r>
          <w:r>
            <w:rPr>
              <w:rFonts w:hint="eastAsia" w:ascii="宋体" w:hAnsi="宋体" w:eastAsia="宋体"/>
              <w:szCs w:val="24"/>
            </w:rPr>
            <w:t>）贷款结清备案</w:t>
          </w:r>
          <w:r>
            <w:tab/>
          </w:r>
          <w:r>
            <w:fldChar w:fldCharType="begin"/>
          </w:r>
          <w:r>
            <w:instrText xml:space="preserve"> PAGEREF _Toc20978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3F9FC95C">
          <w:pPr>
            <w:pStyle w:val="5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_Toc12332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</w:rPr>
            <w:t>（</w:t>
          </w:r>
          <w:r>
            <w:rPr>
              <w:rFonts w:ascii="宋体" w:hAnsi="宋体" w:eastAsia="宋体"/>
              <w:szCs w:val="24"/>
            </w:rPr>
            <w:t>5</w:t>
          </w:r>
          <w:r>
            <w:rPr>
              <w:rFonts w:hint="eastAsia" w:ascii="宋体" w:hAnsi="宋体" w:eastAsia="宋体"/>
              <w:szCs w:val="24"/>
            </w:rPr>
            <w:t>）标记结清或风险</w:t>
          </w:r>
          <w:r>
            <w:tab/>
          </w:r>
          <w:r>
            <w:fldChar w:fldCharType="begin"/>
          </w:r>
          <w:r>
            <w:instrText xml:space="preserve"> PAGEREF _Toc12332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61ED0127">
          <w:pPr>
            <w:pStyle w:val="9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_Toc5215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8"/>
            </w:rPr>
            <w:t>4、 贷后管理</w:t>
          </w:r>
          <w:r>
            <w:tab/>
          </w:r>
          <w:r>
            <w:fldChar w:fldCharType="begin"/>
          </w:r>
          <w:r>
            <w:instrText xml:space="preserve"> PAGEREF _Toc5215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393E4310">
          <w:pPr>
            <w:pStyle w:val="8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_Toc30157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ascii="宋体" w:hAnsi="宋体" w:eastAsia="宋体"/>
              <w:szCs w:val="30"/>
            </w:rPr>
            <w:t xml:space="preserve">四、 </w:t>
          </w:r>
          <w:r>
            <w:rPr>
              <w:rFonts w:hint="eastAsia" w:ascii="宋体" w:hAnsi="宋体" w:eastAsia="宋体"/>
              <w:szCs w:val="30"/>
              <w:lang w:val="en-US" w:eastAsia="zh-CN"/>
            </w:rPr>
            <w:t>贷款贴息</w:t>
          </w:r>
          <w:r>
            <w:rPr>
              <w:rFonts w:hint="eastAsia" w:ascii="宋体" w:hAnsi="宋体" w:eastAsia="宋体"/>
              <w:szCs w:val="30"/>
            </w:rPr>
            <w:t>管理</w:t>
          </w:r>
          <w:r>
            <w:tab/>
          </w:r>
          <w:r>
            <w:fldChar w:fldCharType="begin"/>
          </w:r>
          <w:r>
            <w:instrText xml:space="preserve"> PAGEREF _Toc30157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5E5CD579">
          <w:pPr>
            <w:pStyle w:val="9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_Toc18269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8"/>
            </w:rPr>
            <w:t xml:space="preserve">1、 </w:t>
          </w:r>
          <w:r>
            <w:rPr>
              <w:rFonts w:hint="eastAsia" w:ascii="宋体" w:hAnsi="宋体" w:eastAsia="宋体"/>
              <w:szCs w:val="28"/>
              <w:lang w:val="en-US" w:eastAsia="zh-CN"/>
            </w:rPr>
            <w:t>兑现审批</w:t>
          </w:r>
          <w:r>
            <w:tab/>
          </w:r>
          <w:r>
            <w:fldChar w:fldCharType="begin"/>
          </w:r>
          <w:r>
            <w:instrText xml:space="preserve"> PAGEREF _Toc18269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79D2F12F">
          <w:pPr>
            <w:pStyle w:val="9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_Toc20815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8"/>
              <w:lang w:val="en-US" w:eastAsia="zh-CN"/>
            </w:rPr>
            <w:t>2、 申请单查询</w:t>
          </w:r>
          <w:r>
            <w:tab/>
          </w:r>
          <w:r>
            <w:fldChar w:fldCharType="begin"/>
          </w:r>
          <w:r>
            <w:instrText xml:space="preserve"> PAGEREF _Toc20815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57472EF0">
          <w:pPr>
            <w:pStyle w:val="8"/>
            <w:tabs>
              <w:tab w:val="right" w:leader="dot" w:pos="8306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_Toc22277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ascii="宋体" w:hAnsi="宋体" w:eastAsia="宋体"/>
              <w:szCs w:val="30"/>
            </w:rPr>
            <w:t xml:space="preserve">五、 </w:t>
          </w:r>
          <w:r>
            <w:rPr>
              <w:rFonts w:hint="eastAsia" w:ascii="宋体" w:hAnsi="宋体" w:eastAsia="宋体"/>
              <w:szCs w:val="30"/>
            </w:rPr>
            <w:t>技术支持</w:t>
          </w:r>
          <w:r>
            <w:tab/>
          </w:r>
          <w:r>
            <w:fldChar w:fldCharType="begin"/>
          </w:r>
          <w:r>
            <w:instrText xml:space="preserve"> PAGEREF _Toc22277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 w14:paraId="7A022F29">
          <w:pPr>
            <w:spacing w:line="360" w:lineRule="auto"/>
            <w:rPr>
              <w:rFonts w:ascii="宋体" w:hAnsi="宋体" w:eastAsia="宋体"/>
              <w:sz w:val="24"/>
              <w:szCs w:val="24"/>
            </w:rPr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</w:sdtContent>
    </w:sdt>
    <w:p w14:paraId="3A27067D">
      <w:pPr>
        <w:jc w:val="center"/>
        <w:rPr>
          <w:rFonts w:ascii="宋体" w:hAnsi="宋体" w:eastAsia="宋体"/>
          <w:b/>
          <w:bCs/>
          <w:sz w:val="30"/>
          <w:szCs w:val="30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AF1EF2A">
      <w:pPr>
        <w:pStyle w:val="2"/>
        <w:numPr>
          <w:ilvl w:val="0"/>
          <w:numId w:val="1"/>
        </w:numPr>
        <w:rPr>
          <w:rFonts w:ascii="宋体" w:hAnsi="宋体" w:eastAsia="宋体"/>
          <w:sz w:val="30"/>
          <w:szCs w:val="30"/>
        </w:rPr>
      </w:pPr>
      <w:bookmarkStart w:id="0" w:name="_Toc141727229"/>
      <w:bookmarkStart w:id="1" w:name="_Toc3256"/>
      <w:r>
        <w:rPr>
          <w:rFonts w:hint="eastAsia" w:ascii="宋体" w:hAnsi="宋体" w:eastAsia="宋体"/>
          <w:sz w:val="30"/>
          <w:szCs w:val="30"/>
        </w:rPr>
        <w:t>系统登录</w:t>
      </w:r>
      <w:bookmarkEnd w:id="0"/>
      <w:bookmarkEnd w:id="1"/>
    </w:p>
    <w:p w14:paraId="792D40E5">
      <w:pPr>
        <w:pStyle w:val="3"/>
        <w:numPr>
          <w:ilvl w:val="0"/>
          <w:numId w:val="2"/>
        </w:numPr>
        <w:rPr>
          <w:rFonts w:ascii="宋体" w:hAnsi="宋体" w:eastAsia="宋体"/>
          <w:sz w:val="28"/>
          <w:szCs w:val="28"/>
        </w:rPr>
      </w:pPr>
      <w:bookmarkStart w:id="2" w:name="_Toc16351"/>
      <w:bookmarkStart w:id="3" w:name="_Toc141727230"/>
      <w:r>
        <w:rPr>
          <w:rFonts w:hint="eastAsia" w:ascii="宋体" w:hAnsi="宋体" w:eastAsia="宋体"/>
          <w:sz w:val="28"/>
          <w:szCs w:val="28"/>
        </w:rPr>
        <w:t>访问地址</w:t>
      </w:r>
      <w:bookmarkEnd w:id="2"/>
      <w:bookmarkEnd w:id="3"/>
    </w:p>
    <w:p w14:paraId="541B90D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访问地址：</w:t>
      </w:r>
    </w:p>
    <w:p w14:paraId="42D4C0A3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http://wzqyfw.com/wzepservice/wzservplat/Apps/portal/index.php?s=/Assist/Index/hlTalentexamLogin</w:t>
      </w:r>
    </w:p>
    <w:p w14:paraId="21F3F68B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登录</w:t>
      </w:r>
      <w:r>
        <w:rPr>
          <w:rFonts w:hint="eastAsia" w:ascii="宋体" w:hAnsi="宋体" w:eastAsia="宋体"/>
          <w:b/>
          <w:bCs/>
          <w:sz w:val="24"/>
          <w:szCs w:val="24"/>
        </w:rPr>
        <w:t>吴中区协作业务平台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5E5F8F60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673985"/>
            <wp:effectExtent l="19050" t="19050" r="21590" b="12065"/>
            <wp:docPr id="21455307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53075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98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2D3B663E">
      <w:pPr>
        <w:pStyle w:val="2"/>
        <w:numPr>
          <w:ilvl w:val="0"/>
          <w:numId w:val="1"/>
        </w:numPr>
        <w:rPr>
          <w:rFonts w:ascii="宋体" w:hAnsi="宋体" w:eastAsia="宋体"/>
          <w:sz w:val="30"/>
          <w:szCs w:val="30"/>
        </w:rPr>
      </w:pPr>
      <w:bookmarkStart w:id="4" w:name="_Toc141804094"/>
      <w:bookmarkStart w:id="5" w:name="_Toc141804022"/>
      <w:bookmarkStart w:id="6" w:name="_Toc11009"/>
      <w:bookmarkStart w:id="7" w:name="_Toc141867504"/>
      <w:r>
        <w:rPr>
          <w:rFonts w:hint="eastAsia" w:ascii="宋体" w:hAnsi="宋体" w:eastAsia="宋体"/>
          <w:sz w:val="30"/>
          <w:szCs w:val="30"/>
        </w:rPr>
        <w:t>企业入池管理</w:t>
      </w:r>
      <w:bookmarkEnd w:id="4"/>
      <w:bookmarkEnd w:id="5"/>
      <w:bookmarkEnd w:id="6"/>
      <w:bookmarkEnd w:id="7"/>
    </w:p>
    <w:p w14:paraId="0020C7A6">
      <w:pPr>
        <w:pStyle w:val="3"/>
        <w:numPr>
          <w:ilvl w:val="0"/>
          <w:numId w:val="3"/>
        </w:numPr>
        <w:spacing w:line="360" w:lineRule="auto"/>
        <w:rPr>
          <w:rFonts w:ascii="宋体" w:hAnsi="宋体" w:eastAsia="宋体"/>
          <w:sz w:val="28"/>
          <w:szCs w:val="28"/>
        </w:rPr>
      </w:pPr>
      <w:bookmarkStart w:id="8" w:name="_Toc141867506"/>
      <w:bookmarkStart w:id="9" w:name="_Toc141804024"/>
      <w:bookmarkStart w:id="10" w:name="_Toc3912"/>
      <w:bookmarkStart w:id="11" w:name="_Toc141804096"/>
      <w:bookmarkStart w:id="12" w:name="_Hlk141868844"/>
      <w:r>
        <w:rPr>
          <w:rFonts w:hint="eastAsia" w:ascii="宋体" w:hAnsi="宋体" w:eastAsia="宋体"/>
          <w:sz w:val="28"/>
          <w:szCs w:val="28"/>
        </w:rPr>
        <w:t>入池企业清单</w:t>
      </w:r>
      <w:bookmarkEnd w:id="8"/>
      <w:bookmarkEnd w:id="9"/>
      <w:bookmarkEnd w:id="10"/>
      <w:bookmarkEnd w:id="11"/>
    </w:p>
    <w:bookmarkEnd w:id="12"/>
    <w:p w14:paraId="25E414A8">
      <w:pPr>
        <w:spacing w:before="190" w:after="190" w:line="360" w:lineRule="auto"/>
        <w:ind w:firstLine="420" w:firstLineChars="17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入池企业清单对已入池的企业进行展示，业务人员可在此对入池企业的相关信息进行查询和导出。</w:t>
      </w:r>
    </w:p>
    <w:p w14:paraId="63897C87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点击“下载入池企业确认函”，即可下载对应企业的《增信基金入池企业确认函》。</w:t>
      </w:r>
    </w:p>
    <w:p w14:paraId="3ADC80B1">
      <w:pPr>
        <w:spacing w:before="190" w:after="190"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673985"/>
            <wp:effectExtent l="19050" t="19050" r="21590" b="12065"/>
            <wp:docPr id="1020908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085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9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88E9906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点击“详情”，可对入池企业的详细信息进行查看。</w:t>
      </w:r>
    </w:p>
    <w:p w14:paraId="41066018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入池企业详情页内容如下：</w:t>
      </w:r>
    </w:p>
    <w:p w14:paraId="1A94B707">
      <w:pPr>
        <w:spacing w:before="190" w:after="190" w:line="360" w:lineRule="auto"/>
      </w:pPr>
      <w:r>
        <w:drawing>
          <wp:inline distT="0" distB="0" distL="0" distR="0">
            <wp:extent cx="5274310" cy="2673985"/>
            <wp:effectExtent l="19050" t="19050" r="21590" b="12065"/>
            <wp:docPr id="9729492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94929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98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180554BC">
      <w:pPr>
        <w:pStyle w:val="2"/>
        <w:numPr>
          <w:ilvl w:val="0"/>
          <w:numId w:val="1"/>
        </w:numPr>
        <w:rPr>
          <w:rFonts w:ascii="宋体" w:hAnsi="宋体" w:eastAsia="宋体"/>
          <w:sz w:val="30"/>
          <w:szCs w:val="30"/>
        </w:rPr>
      </w:pPr>
      <w:bookmarkStart w:id="13" w:name="_Toc5915"/>
      <w:bookmarkStart w:id="14" w:name="_Hlk141877127"/>
      <w:r>
        <w:rPr>
          <w:rFonts w:hint="eastAsia" w:ascii="宋体" w:hAnsi="宋体" w:eastAsia="宋体"/>
          <w:sz w:val="30"/>
          <w:szCs w:val="30"/>
        </w:rPr>
        <w:t>贷款业务管理</w:t>
      </w:r>
      <w:bookmarkEnd w:id="13"/>
    </w:p>
    <w:p w14:paraId="312AFBEE">
      <w:pPr>
        <w:pStyle w:val="3"/>
        <w:numPr>
          <w:ilvl w:val="0"/>
          <w:numId w:val="4"/>
        </w:numPr>
        <w:spacing w:line="360" w:lineRule="auto"/>
        <w:rPr>
          <w:rFonts w:ascii="宋体" w:hAnsi="宋体" w:eastAsia="宋体"/>
          <w:sz w:val="28"/>
          <w:szCs w:val="28"/>
        </w:rPr>
      </w:pPr>
      <w:bookmarkStart w:id="15" w:name="_Toc12445"/>
      <w:r>
        <w:rPr>
          <w:rFonts w:hint="eastAsia" w:ascii="宋体" w:hAnsi="宋体" w:eastAsia="宋体"/>
          <w:sz w:val="28"/>
          <w:szCs w:val="28"/>
        </w:rPr>
        <w:t>融资需求管理</w:t>
      </w:r>
      <w:bookmarkEnd w:id="15"/>
    </w:p>
    <w:p w14:paraId="1EC06F69">
      <w:pPr>
        <w:spacing w:before="190" w:after="190" w:line="360" w:lineRule="auto"/>
        <w:ind w:firstLine="420" w:firstLineChars="17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融资需求管理对企业所发布的融资需求进行展示，业务人员可在此对融资需求进行关注、受理。</w:t>
      </w:r>
    </w:p>
    <w:p w14:paraId="7495FB3F">
      <w:pPr>
        <w:pStyle w:val="4"/>
        <w:rPr>
          <w:rFonts w:ascii="宋体" w:hAnsi="宋体" w:eastAsia="宋体"/>
          <w:b w:val="0"/>
          <w:bCs w:val="0"/>
          <w:sz w:val="24"/>
          <w:szCs w:val="24"/>
        </w:rPr>
      </w:pPr>
      <w:bookmarkStart w:id="16" w:name="_Toc9302"/>
      <w:r>
        <w:rPr>
          <w:rFonts w:hint="eastAsia" w:ascii="宋体" w:hAnsi="宋体" w:eastAsia="宋体"/>
          <w:b w:val="0"/>
          <w:bCs w:val="0"/>
          <w:sz w:val="24"/>
          <w:szCs w:val="24"/>
        </w:rPr>
        <w:t>（1）需求公告板</w:t>
      </w:r>
      <w:bookmarkEnd w:id="16"/>
    </w:p>
    <w:p w14:paraId="1BC022E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需求公告板展示待银行关注的企业融资需求。业务人员可在此对融资需求进行查询、关注。</w:t>
      </w:r>
    </w:p>
    <w:p w14:paraId="2FA4C640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496820"/>
            <wp:effectExtent l="19050" t="19050" r="21590" b="17780"/>
            <wp:docPr id="2582653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26534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682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3F5B576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点击“关注”，即可进入需求信息页，业务人员可对融资需求的详细信息进行查看。</w:t>
      </w:r>
    </w:p>
    <w:p w14:paraId="176DBFC1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667000"/>
            <wp:effectExtent l="19050" t="19050" r="21590" b="19050"/>
            <wp:docPr id="1377607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60717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b="2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70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39670ADF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需求信息页内容如下。</w:t>
      </w:r>
    </w:p>
    <w:p w14:paraId="4496429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点击“我要关注”，即可对融资需求进行关注。业务人员可在“需求管理”中对已关注的融资需求进行受理。</w:t>
      </w:r>
    </w:p>
    <w:p w14:paraId="285FABDA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844800"/>
            <wp:effectExtent l="19050" t="19050" r="21590" b="12700"/>
            <wp:docPr id="17313146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31468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480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6715CDEE">
      <w:pPr>
        <w:pStyle w:val="4"/>
        <w:rPr>
          <w:rFonts w:ascii="宋体" w:hAnsi="宋体" w:eastAsia="宋体"/>
          <w:b w:val="0"/>
          <w:bCs w:val="0"/>
          <w:sz w:val="24"/>
          <w:szCs w:val="24"/>
        </w:rPr>
      </w:pPr>
      <w:bookmarkStart w:id="17" w:name="_Toc20190"/>
      <w:r>
        <w:rPr>
          <w:rFonts w:hint="eastAsia" w:ascii="宋体" w:hAnsi="宋体" w:eastAsia="宋体"/>
          <w:b w:val="0"/>
          <w:bCs w:val="0"/>
          <w:sz w:val="24"/>
          <w:szCs w:val="24"/>
        </w:rPr>
        <w:t>（</w:t>
      </w:r>
      <w:r>
        <w:rPr>
          <w:rFonts w:ascii="宋体" w:hAnsi="宋体" w:eastAsia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eastAsia="宋体"/>
          <w:b w:val="0"/>
          <w:bCs w:val="0"/>
          <w:sz w:val="24"/>
          <w:szCs w:val="24"/>
        </w:rPr>
        <w:t>）需求管理</w:t>
      </w:r>
      <w:bookmarkEnd w:id="17"/>
    </w:p>
    <w:p w14:paraId="31471950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需求管理中展示银行已关注的融资需求。业务人员可在此对融资需求进行查询、受理。</w:t>
      </w:r>
    </w:p>
    <w:p w14:paraId="04A96FC1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654300"/>
            <wp:effectExtent l="19050" t="19050" r="21590" b="12700"/>
            <wp:docPr id="11606588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658837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43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3E859E0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点击“受理”，即可进入需求受理页。页面对融资需求的详细内容、需求处理进展进行展示，业务人员可在此对受理意见进行维护。</w:t>
      </w:r>
    </w:p>
    <w:p w14:paraId="7B7ED3AE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4597400"/>
            <wp:effectExtent l="19050" t="19050" r="21590" b="12700"/>
            <wp:docPr id="12129866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86602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9740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52EEF133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业务人员受理融资需求后，即可点击“授信”，并在随后的页面中对授信信息进行维护。</w:t>
      </w:r>
      <w:r>
        <w:rPr>
          <w:rFonts w:ascii="宋体" w:hAnsi="宋体" w:eastAsia="宋体"/>
          <w:sz w:val="24"/>
          <w:szCs w:val="24"/>
        </w:rPr>
        <w:tab/>
      </w:r>
    </w:p>
    <w:p w14:paraId="6F3D6A43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419985"/>
            <wp:effectExtent l="19050" t="19050" r="21590" b="18415"/>
            <wp:docPr id="17712883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288339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998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71D90923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若选择“同意授信”，则需对类型、金融产品类型、授信日期、授信金额等信息进行维护。</w:t>
      </w:r>
    </w:p>
    <w:p w14:paraId="3C490F14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5224145"/>
            <wp:effectExtent l="19050" t="19050" r="21590" b="14605"/>
            <wp:docPr id="239838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3819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2414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2365F44D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增信基金维护页面内容如下：</w:t>
      </w:r>
    </w:p>
    <w:p w14:paraId="5BE8A829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716530"/>
            <wp:effectExtent l="19050" t="19050" r="21590" b="26670"/>
            <wp:docPr id="14747824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78248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653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4BA45252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完成对授信信息的维护后，即可点击提交。</w:t>
      </w:r>
    </w:p>
    <w:p w14:paraId="3E29C7FB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完成授信的融资需求状态将相应的变为“成功授信”。业务人员可在授信管理模块中对授信记录详情进行查看。</w:t>
      </w:r>
    </w:p>
    <w:p w14:paraId="6EBDD133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1967230"/>
            <wp:effectExtent l="19050" t="19050" r="21590" b="13970"/>
            <wp:docPr id="8499304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30406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723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1E91741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完成授信后，业务人员可在放款管理模块中选择已完成授信的企业，申请放款。</w:t>
      </w:r>
    </w:p>
    <w:p w14:paraId="5D004601">
      <w:pPr>
        <w:pStyle w:val="3"/>
        <w:numPr>
          <w:ilvl w:val="0"/>
          <w:numId w:val="4"/>
        </w:numPr>
        <w:spacing w:line="360" w:lineRule="auto"/>
        <w:rPr>
          <w:rFonts w:ascii="宋体" w:hAnsi="宋体" w:eastAsia="宋体"/>
          <w:sz w:val="28"/>
          <w:szCs w:val="28"/>
        </w:rPr>
      </w:pPr>
      <w:bookmarkStart w:id="18" w:name="_Toc10972"/>
      <w:r>
        <w:rPr>
          <w:rFonts w:hint="eastAsia" w:ascii="宋体" w:hAnsi="宋体" w:eastAsia="宋体"/>
          <w:sz w:val="28"/>
          <w:szCs w:val="28"/>
        </w:rPr>
        <w:t>授信管理</w:t>
      </w:r>
      <w:bookmarkEnd w:id="18"/>
    </w:p>
    <w:p w14:paraId="5B4FE10A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授信管理对授信记录进行统计和展示。业务人员可在此对授信记录进行查询。点击“详情”，即可查看授信记录的详细信息。</w:t>
      </w:r>
    </w:p>
    <w:p w14:paraId="3BFD73A0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673985"/>
            <wp:effectExtent l="19050" t="19050" r="21590" b="12065"/>
            <wp:docPr id="15100342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034259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98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50F2503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授信记录详情页面内容如下：</w:t>
      </w:r>
    </w:p>
    <w:p w14:paraId="6C432853">
      <w:r>
        <w:drawing>
          <wp:inline distT="0" distB="0" distL="0" distR="0">
            <wp:extent cx="5274310" cy="5094605"/>
            <wp:effectExtent l="19050" t="19050" r="21590" b="10795"/>
            <wp:docPr id="10192186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218622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9460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15B7BCD0">
      <w:pPr>
        <w:pStyle w:val="3"/>
        <w:numPr>
          <w:ilvl w:val="0"/>
          <w:numId w:val="4"/>
        </w:numPr>
        <w:spacing w:line="360" w:lineRule="auto"/>
        <w:rPr>
          <w:rFonts w:ascii="宋体" w:hAnsi="宋体" w:eastAsia="宋体"/>
          <w:sz w:val="28"/>
          <w:szCs w:val="28"/>
        </w:rPr>
      </w:pPr>
      <w:bookmarkStart w:id="19" w:name="_Toc32274"/>
      <w:r>
        <w:rPr>
          <w:rFonts w:hint="eastAsia" w:ascii="宋体" w:hAnsi="宋体" w:eastAsia="宋体"/>
          <w:sz w:val="28"/>
          <w:szCs w:val="28"/>
        </w:rPr>
        <w:t>放款管理</w:t>
      </w:r>
      <w:bookmarkEnd w:id="19"/>
    </w:p>
    <w:p w14:paraId="43668671">
      <w:pPr>
        <w:pStyle w:val="21"/>
      </w:pPr>
      <w:r>
        <w:rPr>
          <w:rFonts w:hint="eastAsia"/>
        </w:rPr>
        <w:t>放款管理模块对放款记录进行展示，业务人员可在此进行查询放款记录、申请放款、下载增信基金贷款确认函、标记结清或风险等操作。</w:t>
      </w:r>
    </w:p>
    <w:p w14:paraId="1721A99B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3675" cy="2209800"/>
            <wp:effectExtent l="19050" t="19050" r="22225" b="19050"/>
            <wp:docPr id="12346556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655631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rcRect b="173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001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60D85292">
      <w:pPr>
        <w:pStyle w:val="4"/>
        <w:spacing w:line="360" w:lineRule="auto"/>
        <w:rPr>
          <w:rFonts w:ascii="宋体" w:hAnsi="宋体" w:eastAsia="宋体"/>
          <w:sz w:val="24"/>
          <w:szCs w:val="24"/>
        </w:rPr>
      </w:pPr>
      <w:bookmarkStart w:id="20" w:name="_Toc8467"/>
      <w:r>
        <w:rPr>
          <w:rFonts w:hint="eastAsia" w:ascii="宋体" w:hAnsi="宋体" w:eastAsia="宋体"/>
          <w:sz w:val="24"/>
          <w:szCs w:val="24"/>
        </w:rPr>
        <w:t>（1）申请放款</w:t>
      </w:r>
      <w:bookmarkEnd w:id="20"/>
    </w:p>
    <w:p w14:paraId="222214B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点击“申请放款”，可在随后的页面中对放款申请信息进行维护。</w:t>
      </w:r>
    </w:p>
    <w:p w14:paraId="7B485F94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1988185"/>
            <wp:effectExtent l="19050" t="19050" r="21590" b="12065"/>
            <wp:docPr id="19589063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906324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818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466A8500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选择授信企业：</w:t>
      </w:r>
    </w:p>
    <w:p w14:paraId="3E6F1EE8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1367790"/>
            <wp:effectExtent l="19050" t="19050" r="21590" b="22860"/>
            <wp:docPr id="7384146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14658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779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6DADF75B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选择授信记录并点击“申请放款”：</w:t>
      </w:r>
    </w:p>
    <w:p w14:paraId="2E399A94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1975485"/>
            <wp:effectExtent l="19050" t="19050" r="21590" b="24765"/>
            <wp:docPr id="10942664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266442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548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6FC047C4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填写申请放款信息：</w:t>
      </w:r>
    </w:p>
    <w:p w14:paraId="7F1C58A0"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2405" cy="2698115"/>
            <wp:effectExtent l="19050" t="19050" r="23495" b="26035"/>
            <wp:docPr id="9561329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132962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rcRect b="5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911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04B927EB">
      <w:pPr>
        <w:spacing w:before="190" w:after="190" w:line="360" w:lineRule="auto"/>
        <w:ind w:firstLine="420" w:firstLineChars="17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提交放款申请后，系统会将放款申请递交至服务机构、中小企业服务中心进行进一步的审查。</w:t>
      </w:r>
    </w:p>
    <w:p w14:paraId="6FD30EFE">
      <w:pPr>
        <w:spacing w:before="190" w:after="190" w:line="360" w:lineRule="auto"/>
        <w:ind w:firstLine="420" w:firstLineChars="17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待服务机构、中小企业服务中心均审核通过后，系统将自动生成《增信基金贷款确认函》，银行业务人员可在“增信基金贷款确认函”模块中进行查看和下载。</w:t>
      </w:r>
    </w:p>
    <w:p w14:paraId="51652BA3">
      <w:pPr>
        <w:pStyle w:val="4"/>
        <w:spacing w:line="360" w:lineRule="auto"/>
        <w:rPr>
          <w:rFonts w:ascii="宋体" w:hAnsi="宋体" w:eastAsia="宋体"/>
          <w:sz w:val="24"/>
          <w:szCs w:val="24"/>
        </w:rPr>
      </w:pPr>
      <w:bookmarkStart w:id="21" w:name="_Toc11157"/>
      <w:r>
        <w:rPr>
          <w:rFonts w:hint="eastAsia" w:ascii="宋体" w:hAnsi="宋体" w:eastAsia="宋体"/>
          <w:sz w:val="24"/>
          <w:szCs w:val="24"/>
        </w:rPr>
        <w:t>（</w:t>
      </w:r>
      <w:r>
        <w:rPr>
          <w:rFonts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）增信基金贷款确认函</w:t>
      </w:r>
      <w:bookmarkEnd w:id="21"/>
    </w:p>
    <w:p w14:paraId="28F70F55"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点击进入“增信基金贷款确认函”模块。</w:t>
      </w:r>
    </w:p>
    <w:p w14:paraId="4466B637">
      <w:pPr>
        <w:spacing w:before="190" w:after="190"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673985"/>
            <wp:effectExtent l="19050" t="19050" r="21590" b="12065"/>
            <wp:docPr id="10892709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270987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98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261C9948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模块对所有受理企业的《增信基金贷款确认函》进行展示，业务人员可在此页面中对增信基金贷款确认函进行查询、下载。</w:t>
      </w:r>
    </w:p>
    <w:p w14:paraId="696713C2">
      <w:pPr>
        <w:spacing w:before="190" w:after="190"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673985"/>
            <wp:effectExtent l="19050" t="19050" r="21590" b="12065"/>
            <wp:docPr id="16742407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240710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98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53B3E00F">
      <w:pPr>
        <w:pStyle w:val="4"/>
        <w:spacing w:line="360" w:lineRule="auto"/>
        <w:rPr>
          <w:rFonts w:ascii="宋体" w:hAnsi="宋体" w:eastAsia="宋体"/>
          <w:sz w:val="24"/>
          <w:szCs w:val="24"/>
        </w:rPr>
      </w:pPr>
      <w:bookmarkStart w:id="22" w:name="_Toc5422"/>
      <w:r>
        <w:rPr>
          <w:rFonts w:hint="eastAsia" w:ascii="宋体" w:hAnsi="宋体" w:eastAsia="宋体"/>
          <w:sz w:val="24"/>
          <w:szCs w:val="24"/>
        </w:rPr>
        <w:t>（</w:t>
      </w:r>
      <w:r>
        <w:rPr>
          <w:rFonts w:ascii="宋体" w:hAnsi="宋体" w:eastAsia="宋体"/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）放款备案</w:t>
      </w:r>
      <w:bookmarkEnd w:id="22"/>
    </w:p>
    <w:p w14:paraId="5390440A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当放款申请经由服务机构、中小企业服务中心审核并通过后，系统将自动生成相应的《增信基金贷款确认函》。业务人员可线上查看、下载企业《增信基金贷款确认函》，并在线下向企业放款。完成放款后，业务人员需在七个工作日内完成线上放贷备案。</w:t>
      </w:r>
    </w:p>
    <w:p w14:paraId="522D97D4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点击进入放款管理模块，可在列表中找到相应的放款申请。</w:t>
      </w:r>
    </w:p>
    <w:p w14:paraId="45E18EFD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点击“放款备案”，即可在随后的放款备案页中对放款详情进行完善。</w:t>
      </w:r>
    </w:p>
    <w:p w14:paraId="318B6393">
      <w:pPr>
        <w:spacing w:before="190" w:after="190"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673985"/>
            <wp:effectExtent l="19050" t="19050" r="21590" b="12065"/>
            <wp:docPr id="9482837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283790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98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143D21DC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放款备案页内容如下：</w:t>
      </w:r>
    </w:p>
    <w:p w14:paraId="6B75B706">
      <w:pPr>
        <w:spacing w:before="190" w:after="190"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4446905"/>
            <wp:effectExtent l="19050" t="19050" r="21590" b="10795"/>
            <wp:docPr id="11602728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272850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rcRect t="649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4739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38C2C28A">
      <w:pPr>
        <w:pStyle w:val="4"/>
        <w:spacing w:line="360" w:lineRule="auto"/>
        <w:rPr>
          <w:rFonts w:ascii="宋体" w:hAnsi="宋体" w:eastAsia="宋体"/>
          <w:sz w:val="24"/>
          <w:szCs w:val="24"/>
        </w:rPr>
      </w:pPr>
      <w:bookmarkStart w:id="23" w:name="_Toc20978"/>
      <w:r>
        <w:rPr>
          <w:rFonts w:hint="eastAsia" w:ascii="宋体" w:hAnsi="宋体" w:eastAsia="宋体"/>
          <w:sz w:val="24"/>
          <w:szCs w:val="24"/>
        </w:rPr>
        <w:t>（</w:t>
      </w:r>
      <w:r>
        <w:rPr>
          <w:rFonts w:ascii="宋体" w:hAnsi="宋体" w:eastAsia="宋体"/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）贷款结清备案</w:t>
      </w:r>
      <w:bookmarkEnd w:id="23"/>
    </w:p>
    <w:p w14:paraId="00985F3F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当企业线下贷款结清后，业务人员需在七个工作日内完成线上贷款结清备案。</w:t>
      </w:r>
    </w:p>
    <w:p w14:paraId="05929DA0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点击进入放款管理模块，可在列表中找到相应的放款申请。点击“结清”，即可在随后的页面中进行结清备案。</w:t>
      </w:r>
    </w:p>
    <w:p w14:paraId="6D3E4A3C">
      <w:pPr>
        <w:spacing w:before="190" w:after="190"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162810"/>
            <wp:effectExtent l="19050" t="19050" r="21590" b="27940"/>
            <wp:docPr id="8954143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414355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rcRect b="1909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343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5A5B3F6E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结清备案页面内容如下：</w:t>
      </w:r>
    </w:p>
    <w:p w14:paraId="3EDFB2CC">
      <w:pPr>
        <w:spacing w:before="190" w:after="190"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715895"/>
            <wp:effectExtent l="19050" t="19050" r="21590" b="27305"/>
            <wp:docPr id="18260884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088462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589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6384B1A8">
      <w:pPr>
        <w:pStyle w:val="4"/>
        <w:spacing w:line="360" w:lineRule="auto"/>
        <w:rPr>
          <w:rFonts w:ascii="宋体" w:hAnsi="宋体" w:eastAsia="宋体"/>
          <w:sz w:val="24"/>
          <w:szCs w:val="24"/>
        </w:rPr>
      </w:pPr>
      <w:bookmarkStart w:id="24" w:name="_Toc12332"/>
      <w:r>
        <w:rPr>
          <w:rFonts w:hint="eastAsia" w:ascii="宋体" w:hAnsi="宋体" w:eastAsia="宋体"/>
          <w:sz w:val="24"/>
          <w:szCs w:val="24"/>
        </w:rPr>
        <w:t>（</w:t>
      </w:r>
      <w:r>
        <w:rPr>
          <w:rFonts w:ascii="宋体" w:hAnsi="宋体" w:eastAsia="宋体"/>
          <w:sz w:val="24"/>
          <w:szCs w:val="24"/>
        </w:rPr>
        <w:t>5</w:t>
      </w:r>
      <w:r>
        <w:rPr>
          <w:rFonts w:hint="eastAsia" w:ascii="宋体" w:hAnsi="宋体" w:eastAsia="宋体"/>
          <w:sz w:val="24"/>
          <w:szCs w:val="24"/>
        </w:rPr>
        <w:t>）标记结清或风险</w:t>
      </w:r>
      <w:bookmarkEnd w:id="24"/>
    </w:p>
    <w:p w14:paraId="3514B48B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点击进入标记结清或风险模块。模块展示了所有到期未结清的放款记录。</w:t>
      </w:r>
    </w:p>
    <w:p w14:paraId="041CE2A1">
      <w:pPr>
        <w:spacing w:before="190" w:after="190"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3675" cy="2676525"/>
            <wp:effectExtent l="19050" t="19050" r="22225" b="9525"/>
            <wp:docPr id="8219191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19199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rcRect b="-1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657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31F55498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业务人员可点击结清，完成贷款结清备案；如存在其他风险情况，可点击“标记风险”，对放款记录进行标记。</w:t>
      </w:r>
    </w:p>
    <w:p w14:paraId="08F32A1B">
      <w:pPr>
        <w:spacing w:before="190" w:after="190"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673985"/>
            <wp:effectExtent l="19050" t="19050" r="21590" b="12065"/>
            <wp:docPr id="15722277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227717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98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40FDDA79">
      <w:pPr>
        <w:spacing w:before="190" w:after="190"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点击“标记风险”后，业务人员可在此对风险说明进行维护。</w:t>
      </w:r>
    </w:p>
    <w:p w14:paraId="23606D3B">
      <w:pPr>
        <w:spacing w:before="190" w:after="190"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2534920"/>
            <wp:effectExtent l="19050" t="19050" r="21590" b="17780"/>
            <wp:docPr id="18149916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991657" name="图片 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492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bookmarkEnd w:id="14"/>
    <w:p w14:paraId="30F05C87">
      <w:pPr>
        <w:pStyle w:val="3"/>
        <w:numPr>
          <w:ilvl w:val="0"/>
          <w:numId w:val="4"/>
        </w:numPr>
        <w:spacing w:line="360" w:lineRule="auto"/>
        <w:rPr>
          <w:rFonts w:ascii="宋体" w:hAnsi="宋体" w:eastAsia="宋体"/>
          <w:sz w:val="28"/>
          <w:szCs w:val="28"/>
        </w:rPr>
      </w:pPr>
      <w:bookmarkStart w:id="25" w:name="_Toc5215"/>
      <w:bookmarkStart w:id="26" w:name="_Toc141431349"/>
      <w:bookmarkStart w:id="27" w:name="_Toc141727234"/>
      <w:bookmarkStart w:id="28" w:name="_Toc141867508"/>
      <w:bookmarkStart w:id="29" w:name="_Toc141804097"/>
      <w:bookmarkStart w:id="30" w:name="_Toc141804025"/>
      <w:r>
        <w:rPr>
          <w:rFonts w:hint="eastAsia" w:ascii="宋体" w:hAnsi="宋体" w:eastAsia="宋体"/>
          <w:sz w:val="28"/>
          <w:szCs w:val="28"/>
        </w:rPr>
        <w:t>贷后管理</w:t>
      </w:r>
      <w:bookmarkEnd w:id="25"/>
    </w:p>
    <w:p w14:paraId="0E589B66">
      <w:pPr>
        <w:pStyle w:val="21"/>
        <w:rPr>
          <w:rFonts w:hint="eastAsia"/>
        </w:rPr>
      </w:pPr>
      <w:r>
        <w:rPr>
          <w:rFonts w:hint="eastAsia"/>
        </w:rPr>
        <w:t>线下放款后，业务人员需在每季末月的次月月底前在线上进行贷后备案。</w:t>
      </w:r>
    </w:p>
    <w:p w14:paraId="6127CCA1">
      <w:pPr>
        <w:pStyle w:val="21"/>
        <w:rPr>
          <w:rFonts w:hint="eastAsia"/>
        </w:rPr>
      </w:pPr>
      <w:r>
        <w:rPr>
          <w:rFonts w:hint="eastAsia"/>
        </w:rPr>
        <w:t>如存在需要进行贷后备案的放款记录，系统将会在业务人员登录协作业务平台时进行提醒，业务人员可根据提醒在贷后管理中对相应放款记录进行备案。</w:t>
      </w:r>
    </w:p>
    <w:p w14:paraId="242AF6B4">
      <w:pPr>
        <w:pStyle w:val="21"/>
      </w:pPr>
      <w:r>
        <w:rPr>
          <w:rFonts w:hint="eastAsia"/>
        </w:rPr>
        <w:t>系统提醒：</w:t>
      </w:r>
    </w:p>
    <w:p w14:paraId="10E05F71">
      <w:pPr>
        <w:pStyle w:val="21"/>
        <w:ind w:firstLine="0" w:firstLineChars="0"/>
      </w:pPr>
      <w:r>
        <w:drawing>
          <wp:inline distT="0" distB="0" distL="0" distR="0">
            <wp:extent cx="5274310" cy="2673985"/>
            <wp:effectExtent l="19050" t="19050" r="21590" b="12065"/>
            <wp:docPr id="1581298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29860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39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8760C97">
      <w:pPr>
        <w:pStyle w:val="21"/>
      </w:pPr>
      <w:r>
        <w:t>贷后管理中</w:t>
      </w:r>
      <w:r>
        <w:rPr>
          <w:rFonts w:hint="eastAsia"/>
        </w:rPr>
        <w:t>对</w:t>
      </w:r>
      <w:r>
        <w:t>贷后备案记录进行统计展示，</w:t>
      </w:r>
      <w:r>
        <w:rPr>
          <w:rFonts w:hint="eastAsia"/>
        </w:rPr>
        <w:t>业务人员可在此对贷后备案记录进行查询和新增，点击“详情”可对贷后备案的详细信息进行查看。</w:t>
      </w:r>
    </w:p>
    <w:p w14:paraId="1077E6C0">
      <w:pPr>
        <w:pStyle w:val="21"/>
        <w:ind w:firstLine="0" w:firstLineChars="0"/>
      </w:pPr>
      <w:r>
        <w:drawing>
          <wp:inline distT="0" distB="0" distL="0" distR="0">
            <wp:extent cx="5271770" cy="2447290"/>
            <wp:effectExtent l="19050" t="19050" r="24130" b="10160"/>
            <wp:docPr id="14473371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337171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rcRect b="84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859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05A21FE">
      <w:pPr>
        <w:pStyle w:val="21"/>
      </w:pPr>
      <w:r>
        <w:t>贷后备案详情</w:t>
      </w:r>
      <w:r>
        <w:rPr>
          <w:rFonts w:hint="eastAsia"/>
        </w:rPr>
        <w:t>:</w:t>
      </w:r>
    </w:p>
    <w:p w14:paraId="6991B7EB">
      <w:pPr>
        <w:pStyle w:val="21"/>
        <w:ind w:firstLine="0" w:firstLineChars="0"/>
        <w:jc w:val="center"/>
      </w:pPr>
      <w:r>
        <w:drawing>
          <wp:inline distT="0" distB="0" distL="0" distR="0">
            <wp:extent cx="4377690" cy="3697605"/>
            <wp:effectExtent l="19050" t="19050" r="22860" b="17145"/>
            <wp:docPr id="15835223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522373" name="图片 1"/>
                    <pic:cNvPicPr>
                      <a:picLocks noChangeAspect="1"/>
                    </pic:cNvPicPr>
                  </pic:nvPicPr>
                  <pic:blipFill>
                    <a:blip r:embed="rId37"/>
                    <a:srcRect l="15936" t="8247" r="1016"/>
                    <a:stretch>
                      <a:fillRect/>
                    </a:stretch>
                  </pic:blipFill>
                  <pic:spPr>
                    <a:xfrm>
                      <a:off x="0" y="0"/>
                      <a:ext cx="4380144" cy="369970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45C2F08">
      <w:pPr>
        <w:pStyle w:val="21"/>
      </w:pPr>
      <w:r>
        <w:rPr>
          <w:rFonts w:hint="eastAsia"/>
        </w:rPr>
        <w:t>如需进行贷后备案，可点击“新增贷后备案”。</w:t>
      </w:r>
    </w:p>
    <w:p w14:paraId="1576298F">
      <w:pPr>
        <w:pStyle w:val="21"/>
        <w:ind w:firstLine="0" w:firstLineChars="0"/>
        <w:rPr>
          <w:rFonts w:hint="eastAsia"/>
        </w:rPr>
      </w:pPr>
      <w:r>
        <w:drawing>
          <wp:inline distT="0" distB="0" distL="0" distR="0">
            <wp:extent cx="5272405" cy="1745615"/>
            <wp:effectExtent l="19050" t="19050" r="23495" b="26035"/>
            <wp:docPr id="18168341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834153" name="图片 1"/>
                    <pic:cNvPicPr>
                      <a:picLocks noChangeAspect="1"/>
                    </pic:cNvPicPr>
                  </pic:nvPicPr>
                  <pic:blipFill>
                    <a:blip r:embed="rId38"/>
                    <a:srcRect b="1369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61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462CA26">
      <w:pPr>
        <w:pStyle w:val="21"/>
        <w:rPr>
          <w:rFonts w:hint="eastAsia"/>
        </w:rPr>
      </w:pPr>
      <w:r>
        <w:rPr>
          <w:rFonts w:hint="eastAsia"/>
        </w:rPr>
        <w:t>在此页面中对需要进行贷后备案的企业进行搜索，搜索得到对应的放款记录后点击“下一步”。</w:t>
      </w:r>
    </w:p>
    <w:p w14:paraId="1FED1336">
      <w:pPr>
        <w:pStyle w:val="21"/>
        <w:ind w:firstLine="0" w:firstLineChars="0"/>
      </w:pPr>
      <w:r>
        <w:drawing>
          <wp:inline distT="0" distB="0" distL="0" distR="0">
            <wp:extent cx="5274310" cy="2064385"/>
            <wp:effectExtent l="19050" t="19050" r="21590" b="12065"/>
            <wp:docPr id="15437969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796932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43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FC53FB7">
      <w:pPr>
        <w:pStyle w:val="21"/>
        <w:rPr>
          <w:rFonts w:hint="eastAsia"/>
        </w:rPr>
      </w:pPr>
      <w:r>
        <w:rPr>
          <w:rFonts w:hint="eastAsia"/>
        </w:rPr>
        <w:t>在此页面中对备案信息进行维护后，即可点击“提交”完成备案。</w:t>
      </w:r>
    </w:p>
    <w:p w14:paraId="19D17075">
      <w:pPr>
        <w:pStyle w:val="21"/>
        <w:ind w:firstLine="0" w:firstLineChars="0"/>
      </w:pPr>
      <w:r>
        <w:drawing>
          <wp:inline distT="0" distB="0" distL="0" distR="0">
            <wp:extent cx="5274310" cy="5514340"/>
            <wp:effectExtent l="19050" t="19050" r="21590" b="10160"/>
            <wp:docPr id="9788993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899380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1434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BC2DB1F">
      <w:pPr>
        <w:pStyle w:val="2"/>
        <w:numPr>
          <w:ilvl w:val="0"/>
          <w:numId w:val="1"/>
        </w:numPr>
        <w:rPr>
          <w:rFonts w:ascii="宋体" w:hAnsi="宋体" w:eastAsia="宋体"/>
          <w:sz w:val="30"/>
          <w:szCs w:val="30"/>
        </w:rPr>
      </w:pPr>
      <w:bookmarkStart w:id="31" w:name="_Toc30157"/>
      <w:r>
        <w:rPr>
          <w:rFonts w:hint="eastAsia" w:ascii="宋体" w:hAnsi="宋体" w:eastAsia="宋体"/>
          <w:sz w:val="30"/>
          <w:szCs w:val="30"/>
          <w:lang w:val="en-US" w:eastAsia="zh-CN"/>
        </w:rPr>
        <w:t>贷款贴息</w:t>
      </w:r>
      <w:r>
        <w:rPr>
          <w:rFonts w:hint="eastAsia" w:ascii="宋体" w:hAnsi="宋体" w:eastAsia="宋体"/>
          <w:sz w:val="30"/>
          <w:szCs w:val="30"/>
        </w:rPr>
        <w:t>管理</w:t>
      </w:r>
      <w:bookmarkEnd w:id="31"/>
    </w:p>
    <w:p w14:paraId="537DB6B6">
      <w:pPr>
        <w:pStyle w:val="3"/>
        <w:numPr>
          <w:ilvl w:val="0"/>
          <w:numId w:val="5"/>
        </w:numPr>
        <w:spacing w:line="360" w:lineRule="auto"/>
        <w:rPr>
          <w:rFonts w:ascii="宋体" w:hAnsi="宋体" w:eastAsia="宋体"/>
          <w:sz w:val="28"/>
          <w:szCs w:val="28"/>
        </w:rPr>
      </w:pPr>
      <w:bookmarkStart w:id="32" w:name="_Toc18269"/>
      <w:r>
        <w:rPr>
          <w:rFonts w:hint="eastAsia" w:ascii="宋体" w:hAnsi="宋体" w:eastAsia="宋体"/>
          <w:sz w:val="28"/>
          <w:szCs w:val="28"/>
          <w:lang w:val="en-US" w:eastAsia="zh-CN"/>
        </w:rPr>
        <w:t>申报审批</w:t>
      </w:r>
      <w:bookmarkEnd w:id="32"/>
    </w:p>
    <w:p w14:paraId="711BB048">
      <w:pPr>
        <w:pStyle w:val="21"/>
        <w:rPr>
          <w:rFonts w:hint="default" w:eastAsia="宋体"/>
          <w:lang w:val="en-US" w:eastAsia="zh-CN"/>
        </w:rPr>
      </w:pPr>
      <w:r>
        <w:rPr>
          <w:rFonts w:hint="eastAsia"/>
        </w:rPr>
        <w:t>在此页面</w:t>
      </w:r>
      <w:r>
        <w:rPr>
          <w:rFonts w:hint="eastAsia"/>
          <w:lang w:val="en-US" w:eastAsia="zh-CN"/>
        </w:rPr>
        <w:t>可按条件检索待银行确认的贷款贴息申请记录，且可对贷款贴息申请进行审核确认操作。</w:t>
      </w:r>
    </w:p>
    <w:p w14:paraId="2CD58033">
      <w:pPr>
        <w:pStyle w:val="21"/>
        <w:ind w:firstLine="0" w:firstLineChars="0"/>
      </w:pPr>
      <w:r>
        <w:drawing>
          <wp:inline distT="0" distB="0" distL="114300" distR="114300">
            <wp:extent cx="5267325" cy="2153285"/>
            <wp:effectExtent l="9525" t="9525" r="19050" b="2159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532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2A4136D">
      <w:pPr>
        <w:pStyle w:val="21"/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此页面可填写确认意见，确认企业是否存在逾期归还贷款本金或利息情况。完成确认信息维护后提交即可。</w:t>
      </w:r>
    </w:p>
    <w:p w14:paraId="663AAF52">
      <w:pPr>
        <w:pStyle w:val="21"/>
        <w:ind w:firstLine="0" w:firstLineChars="0"/>
        <w:rPr>
          <w:highlight w:val="yellow"/>
        </w:rPr>
      </w:pPr>
      <w:r>
        <w:drawing>
          <wp:inline distT="0" distB="0" distL="114300" distR="114300">
            <wp:extent cx="5270500" cy="2413000"/>
            <wp:effectExtent l="9525" t="9525" r="15875" b="158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13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8CED649">
      <w:pPr>
        <w:pStyle w:val="3"/>
        <w:numPr>
          <w:ilvl w:val="0"/>
          <w:numId w:val="5"/>
        </w:numPr>
        <w:spacing w:line="360" w:lineRule="auto"/>
        <w:rPr>
          <w:rFonts w:hint="eastAsia" w:ascii="宋体" w:hAnsi="宋体" w:eastAsia="宋体"/>
          <w:sz w:val="28"/>
          <w:szCs w:val="28"/>
          <w:lang w:val="en-US" w:eastAsia="zh-CN"/>
        </w:rPr>
      </w:pPr>
      <w:bookmarkStart w:id="33" w:name="_Toc20815"/>
      <w:r>
        <w:rPr>
          <w:rFonts w:hint="eastAsia" w:ascii="宋体" w:hAnsi="宋体" w:eastAsia="宋体"/>
          <w:sz w:val="28"/>
          <w:szCs w:val="28"/>
          <w:lang w:val="en-US" w:eastAsia="zh-CN"/>
        </w:rPr>
        <w:t>申请单查询</w:t>
      </w:r>
      <w:bookmarkEnd w:id="33"/>
    </w:p>
    <w:p w14:paraId="55A35E26">
      <w:pPr>
        <w:pStyle w:val="21"/>
        <w:ind w:left="0" w:leftChars="0"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此页面可查看与本单位相关的所有贷款贴息申请记录。点击详情页可查看贷款贴息申请详情以及流程状态等信息。</w:t>
      </w:r>
    </w:p>
    <w:p w14:paraId="0599F506">
      <w:pPr>
        <w:pStyle w:val="21"/>
        <w:ind w:firstLine="0" w:firstLineChars="0"/>
      </w:pPr>
      <w:r>
        <w:drawing>
          <wp:inline distT="0" distB="0" distL="114300" distR="114300">
            <wp:extent cx="5274310" cy="2170430"/>
            <wp:effectExtent l="9525" t="9525" r="12065" b="1714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04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11C8930">
      <w:pPr>
        <w:pStyle w:val="21"/>
        <w:ind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2594610"/>
            <wp:effectExtent l="9525" t="9525" r="21590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946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50EED89">
      <w:pPr>
        <w:pStyle w:val="2"/>
        <w:numPr>
          <w:ilvl w:val="0"/>
          <w:numId w:val="1"/>
        </w:numPr>
        <w:rPr>
          <w:rFonts w:ascii="宋体" w:hAnsi="宋体" w:eastAsia="宋体"/>
          <w:sz w:val="30"/>
          <w:szCs w:val="30"/>
        </w:rPr>
      </w:pPr>
      <w:bookmarkStart w:id="34" w:name="_Toc22277"/>
      <w:r>
        <w:rPr>
          <w:rFonts w:hint="eastAsia" w:ascii="宋体" w:hAnsi="宋体" w:eastAsia="宋体"/>
          <w:sz w:val="30"/>
          <w:szCs w:val="30"/>
        </w:rPr>
        <w:t>技术支持</w:t>
      </w:r>
      <w:bookmarkEnd w:id="26"/>
      <w:bookmarkEnd w:id="27"/>
      <w:bookmarkEnd w:id="28"/>
      <w:bookmarkEnd w:id="29"/>
      <w:bookmarkEnd w:id="30"/>
      <w:bookmarkEnd w:id="34"/>
    </w:p>
    <w:p w14:paraId="4A27CC9C">
      <w:pPr>
        <w:spacing w:before="190" w:after="190"/>
        <w:ind w:firstLine="420" w:firstLineChars="17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开发单位：苏州德融嘉信信用管理技术股份有限公司</w:t>
      </w:r>
    </w:p>
    <w:p w14:paraId="5991BBA9">
      <w:pPr>
        <w:spacing w:before="190" w:after="190"/>
        <w:ind w:firstLine="420" w:firstLineChars="17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热线电话：400-8696-086</w:t>
      </w:r>
    </w:p>
    <w:p w14:paraId="07D81AF9">
      <w:pPr>
        <w:spacing w:before="190" w:after="190"/>
        <w:ind w:firstLine="420" w:firstLineChars="17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邮箱：</w:t>
      </w:r>
      <w:r>
        <w:rPr>
          <w:rFonts w:ascii="宋体" w:hAnsi="宋体" w:eastAsia="宋体"/>
          <w:sz w:val="24"/>
          <w:szCs w:val="24"/>
        </w:rPr>
        <w:t>service@wzqyfw.com</w:t>
      </w:r>
    </w:p>
    <w:p w14:paraId="1BBC7F04">
      <w:pPr>
        <w:spacing w:before="190" w:after="190"/>
        <w:ind w:firstLine="420" w:firstLineChars="17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微信号：s18913131676，或者扫描下方二维码</w:t>
      </w:r>
    </w:p>
    <w:p w14:paraId="6BD719D0">
      <w:pPr>
        <w:spacing w:before="190" w:after="190"/>
        <w:ind w:firstLine="367" w:firstLineChars="175"/>
        <w:rPr>
          <w:rFonts w:asciiTheme="minorEastAsia" w:hAnsiTheme="minorEastAsia" w:cstheme="minorEastAsia"/>
          <w:sz w:val="24"/>
          <w:szCs w:val="24"/>
        </w:rPr>
      </w:pPr>
      <w:r>
        <w:rPr>
          <w:rFonts w:ascii="宋体" w:hAnsi="宋体" w:cs="宋体"/>
          <w:kern w:val="0"/>
        </w:rPr>
        <w:drawing>
          <wp:inline distT="0" distB="0" distL="0" distR="0">
            <wp:extent cx="1042670" cy="1042670"/>
            <wp:effectExtent l="19050" t="19050" r="24130" b="24130"/>
            <wp:docPr id="617060565" name="图片 617060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060565" name="图片 61706056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684" cy="104768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>
      <w:headerReference r:id="rId4" w:type="default"/>
      <w:footerReference r:id="rId5" w:type="default"/>
      <w:pgSz w:w="11906" w:h="16838"/>
      <w:pgMar w:top="1440" w:right="1800" w:bottom="1440" w:left="1800" w:header="851" w:footer="850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6645E">
    <w:pPr>
      <w:pStyle w:val="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2171319"/>
      <w:docPartObj>
        <w:docPartGallery w:val="autotext"/>
      </w:docPartObj>
    </w:sdtPr>
    <w:sdtContent>
      <w:p w14:paraId="2D9643D6">
        <w:pPr>
          <w:pStyle w:val="6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BEC5D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223E9D"/>
    <w:multiLevelType w:val="multilevel"/>
    <w:tmpl w:val="3F223E9D"/>
    <w:lvl w:ilvl="0" w:tentative="0">
      <w:start w:val="1"/>
      <w:numFmt w:val="decimal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417EB9DB"/>
    <w:multiLevelType w:val="multilevel"/>
    <w:tmpl w:val="417EB9DB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41D551D2"/>
    <w:multiLevelType w:val="multilevel"/>
    <w:tmpl w:val="41D551D2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65E84E1B"/>
    <w:multiLevelType w:val="multilevel"/>
    <w:tmpl w:val="65E84E1B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682401D3"/>
    <w:multiLevelType w:val="multilevel"/>
    <w:tmpl w:val="682401D3"/>
    <w:lvl w:ilvl="0" w:tentative="0">
      <w:start w:val="1"/>
      <w:numFmt w:val="chineseCountingThousand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1MGNlNDliNjNmMDk5MzAzZTIxMTAyMDYwNTIwZDMifQ=="/>
  </w:docVars>
  <w:rsids>
    <w:rsidRoot w:val="006A3226"/>
    <w:rsid w:val="00025BBB"/>
    <w:rsid w:val="0003352E"/>
    <w:rsid w:val="000925A4"/>
    <w:rsid w:val="00092B08"/>
    <w:rsid w:val="00095A37"/>
    <w:rsid w:val="000A1958"/>
    <w:rsid w:val="000B5496"/>
    <w:rsid w:val="000B6D03"/>
    <w:rsid w:val="000C2EF6"/>
    <w:rsid w:val="000D79B2"/>
    <w:rsid w:val="000F5F4F"/>
    <w:rsid w:val="00102991"/>
    <w:rsid w:val="00115197"/>
    <w:rsid w:val="001254AF"/>
    <w:rsid w:val="00131027"/>
    <w:rsid w:val="00142123"/>
    <w:rsid w:val="00163FE3"/>
    <w:rsid w:val="0018297A"/>
    <w:rsid w:val="0018453A"/>
    <w:rsid w:val="00190C7C"/>
    <w:rsid w:val="001945FE"/>
    <w:rsid w:val="00197BEB"/>
    <w:rsid w:val="001B00CC"/>
    <w:rsid w:val="001B7CDA"/>
    <w:rsid w:val="001F3422"/>
    <w:rsid w:val="002037CB"/>
    <w:rsid w:val="002118E3"/>
    <w:rsid w:val="00213E22"/>
    <w:rsid w:val="00216028"/>
    <w:rsid w:val="00221728"/>
    <w:rsid w:val="00221A38"/>
    <w:rsid w:val="00221CC1"/>
    <w:rsid w:val="00226A2B"/>
    <w:rsid w:val="002309FB"/>
    <w:rsid w:val="00253DEE"/>
    <w:rsid w:val="00270C53"/>
    <w:rsid w:val="002722F5"/>
    <w:rsid w:val="00281EBD"/>
    <w:rsid w:val="002A6990"/>
    <w:rsid w:val="002B22D5"/>
    <w:rsid w:val="002F6C17"/>
    <w:rsid w:val="00336B68"/>
    <w:rsid w:val="00347498"/>
    <w:rsid w:val="00383815"/>
    <w:rsid w:val="0039505E"/>
    <w:rsid w:val="00396E2B"/>
    <w:rsid w:val="003A0BED"/>
    <w:rsid w:val="003B3451"/>
    <w:rsid w:val="003B7F55"/>
    <w:rsid w:val="003C372B"/>
    <w:rsid w:val="003D2AC7"/>
    <w:rsid w:val="003D5028"/>
    <w:rsid w:val="003E22AB"/>
    <w:rsid w:val="0040089E"/>
    <w:rsid w:val="00400C7C"/>
    <w:rsid w:val="00431018"/>
    <w:rsid w:val="00486FA8"/>
    <w:rsid w:val="0049570E"/>
    <w:rsid w:val="004A39DA"/>
    <w:rsid w:val="004B5408"/>
    <w:rsid w:val="004B644B"/>
    <w:rsid w:val="004C7447"/>
    <w:rsid w:val="004D176D"/>
    <w:rsid w:val="004D319C"/>
    <w:rsid w:val="004E1451"/>
    <w:rsid w:val="004E2898"/>
    <w:rsid w:val="0051718D"/>
    <w:rsid w:val="00520117"/>
    <w:rsid w:val="00531584"/>
    <w:rsid w:val="005373D9"/>
    <w:rsid w:val="00543026"/>
    <w:rsid w:val="0054537B"/>
    <w:rsid w:val="00564357"/>
    <w:rsid w:val="0058127D"/>
    <w:rsid w:val="00594BDC"/>
    <w:rsid w:val="00594FDA"/>
    <w:rsid w:val="005A055F"/>
    <w:rsid w:val="005A1289"/>
    <w:rsid w:val="005A1783"/>
    <w:rsid w:val="005A65A3"/>
    <w:rsid w:val="005B5C6A"/>
    <w:rsid w:val="005D57B4"/>
    <w:rsid w:val="005E2C6E"/>
    <w:rsid w:val="00614E83"/>
    <w:rsid w:val="006515A3"/>
    <w:rsid w:val="006544E6"/>
    <w:rsid w:val="0066512F"/>
    <w:rsid w:val="00684549"/>
    <w:rsid w:val="006941B2"/>
    <w:rsid w:val="006A3226"/>
    <w:rsid w:val="006C2A01"/>
    <w:rsid w:val="006E29C2"/>
    <w:rsid w:val="006E37BA"/>
    <w:rsid w:val="006F1A25"/>
    <w:rsid w:val="006F35CA"/>
    <w:rsid w:val="00702AF6"/>
    <w:rsid w:val="00710BF4"/>
    <w:rsid w:val="00721DB8"/>
    <w:rsid w:val="00734ABF"/>
    <w:rsid w:val="0073623C"/>
    <w:rsid w:val="00746EBC"/>
    <w:rsid w:val="007579ED"/>
    <w:rsid w:val="00760A5A"/>
    <w:rsid w:val="00763A5F"/>
    <w:rsid w:val="0076725E"/>
    <w:rsid w:val="00770D09"/>
    <w:rsid w:val="007A4771"/>
    <w:rsid w:val="00802F42"/>
    <w:rsid w:val="008107A6"/>
    <w:rsid w:val="00817115"/>
    <w:rsid w:val="00895294"/>
    <w:rsid w:val="008B2CC4"/>
    <w:rsid w:val="008B4BF4"/>
    <w:rsid w:val="008D6529"/>
    <w:rsid w:val="008F5336"/>
    <w:rsid w:val="00907C4C"/>
    <w:rsid w:val="00912FD7"/>
    <w:rsid w:val="00915DA8"/>
    <w:rsid w:val="00917903"/>
    <w:rsid w:val="00922D2F"/>
    <w:rsid w:val="00926F1E"/>
    <w:rsid w:val="00930AAD"/>
    <w:rsid w:val="00932D30"/>
    <w:rsid w:val="00942FFF"/>
    <w:rsid w:val="009439AD"/>
    <w:rsid w:val="009A1141"/>
    <w:rsid w:val="009A6C88"/>
    <w:rsid w:val="009D3EE0"/>
    <w:rsid w:val="009F67DD"/>
    <w:rsid w:val="00A007E1"/>
    <w:rsid w:val="00A0642E"/>
    <w:rsid w:val="00A138EB"/>
    <w:rsid w:val="00A22671"/>
    <w:rsid w:val="00A24F2B"/>
    <w:rsid w:val="00A54427"/>
    <w:rsid w:val="00A545A5"/>
    <w:rsid w:val="00A6215F"/>
    <w:rsid w:val="00A641FB"/>
    <w:rsid w:val="00A65FDB"/>
    <w:rsid w:val="00A91845"/>
    <w:rsid w:val="00AB281D"/>
    <w:rsid w:val="00AC6103"/>
    <w:rsid w:val="00AC756A"/>
    <w:rsid w:val="00AF149D"/>
    <w:rsid w:val="00B01294"/>
    <w:rsid w:val="00B1070E"/>
    <w:rsid w:val="00B9466E"/>
    <w:rsid w:val="00BA01CB"/>
    <w:rsid w:val="00BB3DC9"/>
    <w:rsid w:val="00BC06D6"/>
    <w:rsid w:val="00BD5522"/>
    <w:rsid w:val="00BE3BC2"/>
    <w:rsid w:val="00BE3CFE"/>
    <w:rsid w:val="00BE6699"/>
    <w:rsid w:val="00BF17FC"/>
    <w:rsid w:val="00C00803"/>
    <w:rsid w:val="00C01870"/>
    <w:rsid w:val="00C159AC"/>
    <w:rsid w:val="00C22653"/>
    <w:rsid w:val="00C3735C"/>
    <w:rsid w:val="00C814A6"/>
    <w:rsid w:val="00C84724"/>
    <w:rsid w:val="00C9660E"/>
    <w:rsid w:val="00CA539A"/>
    <w:rsid w:val="00CE07B4"/>
    <w:rsid w:val="00CF21DF"/>
    <w:rsid w:val="00CF31E1"/>
    <w:rsid w:val="00D15DC6"/>
    <w:rsid w:val="00D23A0E"/>
    <w:rsid w:val="00D34034"/>
    <w:rsid w:val="00D462D2"/>
    <w:rsid w:val="00D57F72"/>
    <w:rsid w:val="00D62F55"/>
    <w:rsid w:val="00D66F06"/>
    <w:rsid w:val="00D8281B"/>
    <w:rsid w:val="00D97161"/>
    <w:rsid w:val="00DA6859"/>
    <w:rsid w:val="00DB40EE"/>
    <w:rsid w:val="00DE7866"/>
    <w:rsid w:val="00E005EA"/>
    <w:rsid w:val="00E21FCB"/>
    <w:rsid w:val="00E46687"/>
    <w:rsid w:val="00E64C83"/>
    <w:rsid w:val="00E73F22"/>
    <w:rsid w:val="00E92646"/>
    <w:rsid w:val="00EA228A"/>
    <w:rsid w:val="00EA7FAC"/>
    <w:rsid w:val="00EB36A7"/>
    <w:rsid w:val="00ED212E"/>
    <w:rsid w:val="00ED6200"/>
    <w:rsid w:val="00F03447"/>
    <w:rsid w:val="00F15AC1"/>
    <w:rsid w:val="00F46A4B"/>
    <w:rsid w:val="00F62DA5"/>
    <w:rsid w:val="00F7515A"/>
    <w:rsid w:val="00F82024"/>
    <w:rsid w:val="00FB0701"/>
    <w:rsid w:val="00FC2A6C"/>
    <w:rsid w:val="00FD0CA6"/>
    <w:rsid w:val="00FD2557"/>
    <w:rsid w:val="00FE0B27"/>
    <w:rsid w:val="01175A40"/>
    <w:rsid w:val="03C672EC"/>
    <w:rsid w:val="38497366"/>
    <w:rsid w:val="39842625"/>
    <w:rsid w:val="49C20131"/>
    <w:rsid w:val="5F0F3B38"/>
    <w:rsid w:val="630062FA"/>
    <w:rsid w:val="6E225ED5"/>
    <w:rsid w:val="7E68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unhideWhenUsed/>
    <w:uiPriority w:val="39"/>
  </w:style>
  <w:style w:type="paragraph" w:styleId="9">
    <w:name w:val="toc 2"/>
    <w:basedOn w:val="1"/>
    <w:next w:val="1"/>
    <w:autoRedefine/>
    <w:unhideWhenUsed/>
    <w:uiPriority w:val="39"/>
    <w:pPr>
      <w:ind w:left="420" w:left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字符"/>
    <w:basedOn w:val="11"/>
    <w:link w:val="7"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5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标题 3 字符"/>
    <w:basedOn w:val="11"/>
    <w:link w:val="4"/>
    <w:uiPriority w:val="9"/>
    <w:rPr>
      <w:b/>
      <w:bCs/>
      <w:sz w:val="32"/>
      <w:szCs w:val="32"/>
    </w:rPr>
  </w:style>
  <w:style w:type="paragraph" w:customStyle="1" w:styleId="19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0">
    <w:name w:val="15"/>
    <w:basedOn w:val="11"/>
    <w:qFormat/>
    <w:uiPriority w:val="0"/>
    <w:rPr>
      <w:rFonts w:hint="default" w:ascii="Times New Roman" w:hAnsi="Times New Roman" w:cs="Times New Roman"/>
      <w:color w:val="800080"/>
      <w:u w:val="single"/>
    </w:rPr>
  </w:style>
  <w:style w:type="paragraph" w:customStyle="1" w:styleId="21">
    <w:name w:val="手册1"/>
    <w:basedOn w:val="1"/>
    <w:link w:val="22"/>
    <w:qFormat/>
    <w:uiPriority w:val="0"/>
    <w:pPr>
      <w:spacing w:line="360" w:lineRule="auto"/>
      <w:ind w:firstLine="480" w:firstLineChars="200"/>
    </w:pPr>
    <w:rPr>
      <w:rFonts w:ascii="宋体" w:hAnsi="宋体" w:eastAsia="宋体"/>
      <w:sz w:val="24"/>
      <w:szCs w:val="24"/>
    </w:rPr>
  </w:style>
  <w:style w:type="character" w:customStyle="1" w:styleId="22">
    <w:name w:val="手册1 字符"/>
    <w:basedOn w:val="11"/>
    <w:link w:val="21"/>
    <w:qFormat/>
    <w:uiPriority w:val="0"/>
    <w:rPr>
      <w:rFonts w:ascii="宋体" w:hAnsi="宋体" w:eastAsia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numbering" Target="numbering.xml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header" Target="header1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er" Target="foot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E85ED-3D8F-4276-9E30-B39DEB3460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2124</Words>
  <Characters>2267</Characters>
  <Lines>24</Lines>
  <Paragraphs>6</Paragraphs>
  <TotalTime>18</TotalTime>
  <ScaleCrop>false</ScaleCrop>
  <LinksUpToDate>false</LinksUpToDate>
  <CharactersWithSpaces>2341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2023-08-02T03:22:00Z</dcterms:created>
  <dc:creator>Wang Dana</dc:creator>
  <cp:lastModifiedBy>居叶琴</cp:lastModifiedBy>
  <dcterms:modified xsi:type="dcterms:W3CDTF">2024-07-11T08:45:07Z</dcterms:modified>
  <cp:revision>205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78AAEE3D75584B90845C7F76E072E760_12</vt:lpwstr>
  </property>
</Properties>
</file>